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E6CF0" w14:textId="67D8D1E0" w:rsidR="007C2423" w:rsidRPr="00CB1A40" w:rsidRDefault="007C2423" w:rsidP="00CB1A40">
      <w:pPr>
        <w:pStyle w:val="Heading1"/>
      </w:pPr>
      <w:r w:rsidRPr="00CB1A40">
        <w:t xml:space="preserve">Cyclical Program Review Library Report for </w:t>
      </w:r>
      <w:r w:rsidR="21F8D990" w:rsidRPr="00CB1A40">
        <w:t>Population Medicine</w:t>
      </w:r>
    </w:p>
    <w:p w14:paraId="40E5EB84" w14:textId="4C8AF0DF" w:rsidR="00B310DC" w:rsidRPr="00B310DC" w:rsidRDefault="3D20C01D" w:rsidP="00CB1A40">
      <w:pPr>
        <w:pStyle w:val="Body"/>
        <w:spacing w:before="240"/>
      </w:pPr>
      <w:r>
        <w:t>July 8, 2025</w:t>
      </w:r>
    </w:p>
    <w:p w14:paraId="51961636" w14:textId="4FA851D5" w:rsidR="00B310DC" w:rsidRDefault="00B310DC" w:rsidP="00CB1A40">
      <w:pPr>
        <w:pStyle w:val="Body"/>
        <w:spacing w:before="240"/>
      </w:pPr>
      <w:r w:rsidRPr="3BAE2FDA">
        <w:rPr>
          <w:lang w:val="en-CA"/>
        </w:rPr>
        <w:t xml:space="preserve">Prepared by: </w:t>
      </w:r>
    </w:p>
    <w:p w14:paraId="19AF6463" w14:textId="45A076B8" w:rsidR="00B310DC" w:rsidRDefault="1BF8AC4D" w:rsidP="3BAE2FDA">
      <w:pPr>
        <w:pStyle w:val="Body"/>
      </w:pPr>
      <w:r w:rsidRPr="3BAE2FDA">
        <w:rPr>
          <w:lang w:val="en-CA"/>
        </w:rPr>
        <w:t xml:space="preserve">Jacqueline Kreller-Vanderkooy, Associate Librarian &amp; Manager, Information </w:t>
      </w:r>
      <w:proofErr w:type="gramStart"/>
      <w:r w:rsidRPr="3BAE2FDA">
        <w:rPr>
          <w:lang w:val="en-CA"/>
        </w:rPr>
        <w:t>Literacy;</w:t>
      </w:r>
      <w:proofErr w:type="gramEnd"/>
      <w:r w:rsidRPr="3BAE2FDA">
        <w:rPr>
          <w:lang w:val="en-CA"/>
        </w:rPr>
        <w:t xml:space="preserve"> </w:t>
      </w:r>
    </w:p>
    <w:p w14:paraId="40C1A63C" w14:textId="01B981BF" w:rsidR="00B310DC" w:rsidRDefault="330B2248" w:rsidP="3BAE2FDA">
      <w:pPr>
        <w:pStyle w:val="Body"/>
      </w:pPr>
      <w:r>
        <w:t>Paul G. St-Pierre, Collections Librarian (Sciences)</w:t>
      </w:r>
      <w:r w:rsidR="00B310DC">
        <w:br/>
      </w:r>
      <w:r w:rsidR="190D4060">
        <w:t>Sarah Gibbons, Writing Specialist</w:t>
      </w:r>
    </w:p>
    <w:p w14:paraId="0F8AA78B" w14:textId="21B3B106" w:rsidR="00B310DC" w:rsidRDefault="190D4060" w:rsidP="3BAE2FDA">
      <w:pPr>
        <w:pStyle w:val="Body"/>
      </w:pPr>
      <w:r>
        <w:t>Ali Versluis, Head, Research &amp; Scholarship</w:t>
      </w:r>
    </w:p>
    <w:p w14:paraId="0AB3A49B" w14:textId="22494016" w:rsidR="00B310DC" w:rsidRDefault="00B310DC" w:rsidP="00CB1A40">
      <w:pPr>
        <w:pStyle w:val="Body"/>
        <w:spacing w:before="240"/>
      </w:pPr>
      <w:r w:rsidRPr="3BAE2FDA">
        <w:rPr>
          <w:lang w:val="en-CA"/>
        </w:rPr>
        <w:t>Submitted by Ian Gibson, Interim Associate University Librarian, Research</w:t>
      </w:r>
    </w:p>
    <w:p w14:paraId="46CCFBA0" w14:textId="77777777" w:rsidR="00D832AE" w:rsidRDefault="00D832AE" w:rsidP="00CB1A40">
      <w:pPr>
        <w:pStyle w:val="Heading2"/>
      </w:pPr>
      <w:r>
        <w:t>About the Library</w:t>
      </w:r>
    </w:p>
    <w:p w14:paraId="40DDF3AE" w14:textId="3DFE468A" w:rsidR="00D832AE" w:rsidRDefault="00D832AE" w:rsidP="3BAE2FDA">
      <w:pPr>
        <w:rPr>
          <w:lang w:val="en-GB"/>
        </w:rPr>
      </w:pPr>
      <w:r w:rsidRPr="3BAE2FDA">
        <w:rPr>
          <w:lang w:val="en-GB"/>
        </w:rPr>
        <w:t>The University of Guelph Library is a member of the Canadian Association of Research Libraries, the Association of Research Libraries, the Ontario Council of University Libraries, and the</w:t>
      </w:r>
      <w:r>
        <w:t xml:space="preserve"> </w:t>
      </w:r>
      <w:r w:rsidRPr="3BAE2FDA">
        <w:rPr>
          <w:lang w:val="en-GB"/>
        </w:rPr>
        <w:t>Canadian Research Knowledge Network. Our strong local collections are augmented by fast access to materials in the Omni libraries consortium of university libraries across Ontario. We are dedicated advocates of open access for scholarship and teaching.</w:t>
      </w:r>
      <w:r>
        <w:t xml:space="preserve"> </w:t>
      </w:r>
      <w:r w:rsidRPr="3BAE2FDA">
        <w:rPr>
          <w:lang w:val="en-GB"/>
        </w:rPr>
        <w:t xml:space="preserve">The library supports open access through the Atrium, our institutional research repository, open journal services, University of Guelph Open Books Publishing Platform, and provision of open access publications, and support for preservation of research materials in all formats.   </w:t>
      </w:r>
    </w:p>
    <w:p w14:paraId="5581DA1C" w14:textId="77777777" w:rsidR="00D832AE" w:rsidRDefault="00D832AE" w:rsidP="00CB1A40">
      <w:pPr>
        <w:spacing w:before="240"/>
        <w:rPr>
          <w:lang w:val="en-GB"/>
        </w:rPr>
      </w:pPr>
      <w:r w:rsidRPr="3BAE2FDA">
        <w:rPr>
          <w:lang w:val="en-GB"/>
        </w:rPr>
        <w:t>We support the development of students’ academic and professional skills by offering individual consultations and group workshops in writing, academic integrity, learning (giving presentations, time management, effective studying, group work, exam preparation), data (collection, preparation, analysis, management, and visualization), publishing (copyright, author rights, impact analysis),research (knowledge synthesis, information literacy, reference, archival research), and English as an Additional Language reading, writing, and speaking support. We also offer numerous online guides and videos to supplement our services and provide asynchronous access to helpful tools any time students need them.</w:t>
      </w:r>
    </w:p>
    <w:p w14:paraId="22FA7C14" w14:textId="7130D7AE" w:rsidR="00D832AE" w:rsidRPr="004B522C" w:rsidRDefault="00D832AE" w:rsidP="00CB1A40">
      <w:pPr>
        <w:pStyle w:val="CommentText"/>
        <w:spacing w:before="240"/>
      </w:pPr>
      <w:r w:rsidRPr="3BAE2FDA">
        <w:rPr>
          <w:lang w:val="en-GB"/>
        </w:rPr>
        <w:t xml:space="preserve">The library offers spaces for quiet concentration, lively group discussion and meetings of Supported Learning Groups (peer-led study groups held on a weekly basis to help students taking historically challenging courses) </w:t>
      </w:r>
      <w:r>
        <w:lastRenderedPageBreak/>
        <w:t>and the Pearson Family Student-Athlete Mentor Program</w:t>
      </w:r>
      <w:r w:rsidRPr="3BAE2FDA">
        <w:rPr>
          <w:lang w:val="en-GB"/>
        </w:rPr>
        <w:t xml:space="preserve">. The library has an accessibility lab, a data resources lab, a digital media studio and hosts space dedicated to student learning in Chemistry, Physics, Mathematics and Statistics. The Archival &amp; Special Collections Reading Room gives all researchers access to its diverse collections in agricultural history and rural heritage, landscape architecture, culinary, theatre, Scottish Studies, early campus history, and L.M. Montgomery. </w:t>
      </w:r>
      <w:r w:rsidRPr="3BAE2FDA">
        <w:rPr>
          <w:rFonts w:cstheme="minorBidi"/>
        </w:rPr>
        <w:t>THINC Lab (The Humanities Interdisciplinary Collaboration Lab</w:t>
      </w:r>
      <w:r w:rsidR="02A34669" w:rsidRPr="3BAE2FDA">
        <w:rPr>
          <w:rFonts w:cstheme="minorBidi"/>
        </w:rPr>
        <w:t>)</w:t>
      </w:r>
      <w:r w:rsidRPr="3BAE2FDA">
        <w:rPr>
          <w:rFonts w:cstheme="minorBidi"/>
        </w:rPr>
        <w:t xml:space="preserve"> provides space, programming</w:t>
      </w:r>
      <w:r w:rsidR="45F080CF" w:rsidRPr="3BAE2FDA">
        <w:rPr>
          <w:rFonts w:cstheme="minorBidi"/>
        </w:rPr>
        <w:t>, and resources</w:t>
      </w:r>
      <w:r w:rsidRPr="3BAE2FDA">
        <w:rPr>
          <w:rFonts w:cstheme="minorBidi"/>
        </w:rPr>
        <w:t xml:space="preserve"> for digital humanities research and teaching. </w:t>
      </w:r>
    </w:p>
    <w:p w14:paraId="2DB6C2BB" w14:textId="77777777" w:rsidR="00D832AE" w:rsidRPr="000C0BA9" w:rsidRDefault="00D832AE" w:rsidP="00CB1A40">
      <w:pPr>
        <w:spacing w:before="240"/>
      </w:pPr>
      <w:r w:rsidRPr="3BAE2FDA">
        <w:rPr>
          <w:lang w:val="en-GB"/>
        </w:rPr>
        <w:t>Equity, Diversity and Inclusion (EDI) is a priority for us, reflected in our commitment to diversifying our collections and focusing on a user experience that fosters safety and belonging.</w:t>
      </w:r>
      <w:bookmarkStart w:id="0" w:name="_Toc247277353"/>
    </w:p>
    <w:bookmarkEnd w:id="0"/>
    <w:p w14:paraId="05C96778" w14:textId="211B7543" w:rsidR="1E3E8698" w:rsidRDefault="1E3E8698" w:rsidP="00CB1A40">
      <w:pPr>
        <w:pStyle w:val="Heading2"/>
      </w:pPr>
      <w:r w:rsidRPr="3BAE2FDA">
        <w:rPr>
          <w:rFonts w:eastAsia="Calibri Light"/>
          <w:lang w:val="en-US"/>
        </w:rPr>
        <w:t xml:space="preserve">Collections </w:t>
      </w:r>
    </w:p>
    <w:p w14:paraId="77F7F014" w14:textId="6511911E" w:rsidR="1E3E8698" w:rsidRDefault="1E3E8698" w:rsidP="3BAE2FDA">
      <w:pPr>
        <w:spacing w:before="220" w:after="220"/>
      </w:pPr>
      <w:r w:rsidRPr="3BAE2FDA">
        <w:rPr>
          <w:rFonts w:ascii="Arial" w:eastAsia="Arial" w:hAnsi="Arial" w:cs="Arial"/>
          <w:sz w:val="22"/>
          <w:szCs w:val="22"/>
          <w:lang w:val="en-US"/>
        </w:rPr>
        <w:t xml:space="preserve">Due to the flagship stature of OVC, its uniqueness in the province, and the presence of the Ontario Agriculture College, veterinary science is an area of special focus. The library takes an intensive approach to collections, with excellent e-journal, book, and index coverage. This is further enhanced by the university’s historic strengths in animal agriculture and the broader </w:t>
      </w:r>
      <w:r w:rsidR="55BBC772" w:rsidRPr="3BAE2FDA">
        <w:rPr>
          <w:rFonts w:ascii="Arial" w:eastAsia="Arial" w:hAnsi="Arial" w:cs="Arial"/>
          <w:sz w:val="22"/>
          <w:szCs w:val="22"/>
          <w:lang w:val="en-US"/>
        </w:rPr>
        <w:t xml:space="preserve">life </w:t>
      </w:r>
      <w:r w:rsidRPr="3BAE2FDA">
        <w:rPr>
          <w:rFonts w:ascii="Arial" w:eastAsia="Arial" w:hAnsi="Arial" w:cs="Arial"/>
          <w:sz w:val="22"/>
          <w:szCs w:val="22"/>
          <w:lang w:val="en-US"/>
        </w:rPr>
        <w:t xml:space="preserve">sciences, and the more recent emphasis on One Health approaches. </w:t>
      </w:r>
    </w:p>
    <w:p w14:paraId="1B28F7DC" w14:textId="45B6854F" w:rsidR="1E3E8698" w:rsidRDefault="1E3E8698" w:rsidP="3BAE2FDA">
      <w:pPr>
        <w:spacing w:before="220" w:after="220"/>
      </w:pPr>
      <w:r w:rsidRPr="3BAE2FDA">
        <w:rPr>
          <w:rFonts w:ascii="Arial" w:eastAsia="Arial" w:hAnsi="Arial" w:cs="Arial"/>
          <w:sz w:val="22"/>
          <w:szCs w:val="22"/>
          <w:lang w:val="en-US"/>
        </w:rPr>
        <w:t>The greatest challenge population medicine and public health present for library collections is the very high cost of information resources in the medical sciences. As comparative biomedical research takes on greater importance across campus, increasing strain is placed on the acquisitions budget. Additionally, flat or reduced budgets in recent years have led to the cancellation of most journals published by Springer, and a diminished capacity to keep up with the latest editions of increasingly expensive textbooks.</w:t>
      </w:r>
    </w:p>
    <w:p w14:paraId="14509470" w14:textId="6338A35F" w:rsidR="1E3E8698" w:rsidRDefault="1E3E8698" w:rsidP="3BAE2FDA">
      <w:pPr>
        <w:spacing w:before="220" w:after="220"/>
      </w:pPr>
      <w:r w:rsidRPr="3BAE2FDA">
        <w:rPr>
          <w:rFonts w:ascii="Arial" w:eastAsia="Arial" w:hAnsi="Arial" w:cs="Arial"/>
          <w:sz w:val="22"/>
          <w:szCs w:val="22"/>
          <w:lang w:val="en-US"/>
        </w:rPr>
        <w:t>Whenever practicable, the library acquires new books and journals in response to faculty and graduate student requests.</w:t>
      </w:r>
    </w:p>
    <w:p w14:paraId="799057CB" w14:textId="2748882B" w:rsidR="1E3E8698" w:rsidRDefault="1E3E8698" w:rsidP="3BAE2FDA">
      <w:pPr>
        <w:spacing w:before="220" w:after="220"/>
      </w:pPr>
      <w:r w:rsidRPr="3BAE2FDA">
        <w:rPr>
          <w:rFonts w:ascii="Arial" w:eastAsia="Arial" w:hAnsi="Arial" w:cs="Arial"/>
          <w:b/>
          <w:bCs/>
          <w:sz w:val="22"/>
          <w:szCs w:val="22"/>
          <w:lang w:val="en-US"/>
        </w:rPr>
        <w:t>Journals:</w:t>
      </w:r>
      <w:r w:rsidRPr="3BAE2FDA">
        <w:rPr>
          <w:rFonts w:ascii="Arial" w:eastAsia="Arial" w:hAnsi="Arial" w:cs="Arial"/>
          <w:sz w:val="22"/>
          <w:szCs w:val="22"/>
          <w:lang w:val="en-US"/>
        </w:rPr>
        <w:t xml:space="preserve"> The library almost exclusively acquires e-journals, with more than 55,000 titles across all disciplines. The veterinary and public health collections are very strong and include nearly all Recognized Veterinary Specialty titles approved by the American Board of Veterinary Practitioners. Students can access nearly complete journal suites, in many cases back to the first volume, from publishers such as Wiley, Elsevier, Taylor &amp; Francis, SAGE, CABI, and JAVMA.</w:t>
      </w:r>
    </w:p>
    <w:p w14:paraId="01441401" w14:textId="07745017" w:rsidR="1E3E8698" w:rsidRDefault="1E3E8698" w:rsidP="3BAE2FDA">
      <w:pPr>
        <w:spacing w:before="220" w:after="220"/>
      </w:pPr>
      <w:r w:rsidRPr="3BAE2FDA">
        <w:rPr>
          <w:rFonts w:ascii="Arial" w:eastAsia="Arial" w:hAnsi="Arial" w:cs="Arial"/>
          <w:sz w:val="22"/>
          <w:szCs w:val="22"/>
          <w:lang w:val="en-US"/>
        </w:rPr>
        <w:t>Due to financial exigencies the library has cancelled most Springer journal subscriptions, but issues published before 2024 remain available and current articles can be obtained through Interlibrary Loan. An increasing number of articles are also published Open Access. Many are also available, with a 1-year delay, through aggregator databases such as the ProQuest Natural Science Collection. Springer is not amongst the major veterinary publishers, but lost access to journals of potential interest to Population Medicine students is not insignificant, including:</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5630"/>
        <w:gridCol w:w="1540"/>
      </w:tblGrid>
      <w:tr w:rsidR="3B1A9F9A" w14:paraId="4450FABA" w14:textId="77777777" w:rsidTr="3BAE2FDA">
        <w:trPr>
          <w:trHeight w:val="285"/>
          <w:jc w:val="center"/>
        </w:trPr>
        <w:tc>
          <w:tcPr>
            <w:tcW w:w="5630" w:type="dxa"/>
            <w:tcMar>
              <w:left w:w="108" w:type="dxa"/>
              <w:right w:w="108" w:type="dxa"/>
            </w:tcMar>
            <w:vAlign w:val="bottom"/>
          </w:tcPr>
          <w:p w14:paraId="0AC3D441" w14:textId="6C97AAF2" w:rsidR="3B1A9F9A" w:rsidRDefault="3B1A9F9A" w:rsidP="3BAE2FDA">
            <w:r w:rsidRPr="3BAE2FDA">
              <w:rPr>
                <w:rFonts w:ascii="Aptos Narrow" w:eastAsia="Aptos Narrow" w:hAnsi="Aptos Narrow" w:cs="Aptos Narrow"/>
                <w:b/>
                <w:bCs/>
                <w:color w:val="000000" w:themeColor="text1"/>
                <w:sz w:val="22"/>
                <w:szCs w:val="22"/>
              </w:rPr>
              <w:lastRenderedPageBreak/>
              <w:t>Journal Title</w:t>
            </w:r>
          </w:p>
        </w:tc>
        <w:tc>
          <w:tcPr>
            <w:tcW w:w="1540" w:type="dxa"/>
            <w:tcMar>
              <w:left w:w="108" w:type="dxa"/>
              <w:right w:w="108" w:type="dxa"/>
            </w:tcMar>
            <w:vAlign w:val="bottom"/>
          </w:tcPr>
          <w:p w14:paraId="451AB45A" w14:textId="5CCBD4FA" w:rsidR="3B1A9F9A" w:rsidRDefault="3B1A9F9A" w:rsidP="3BAE2FDA">
            <w:pPr>
              <w:jc w:val="center"/>
            </w:pPr>
            <w:r w:rsidRPr="3BAE2FDA">
              <w:rPr>
                <w:rFonts w:ascii="Aptos Narrow" w:eastAsia="Aptos Narrow" w:hAnsi="Aptos Narrow" w:cs="Aptos Narrow"/>
                <w:b/>
                <w:bCs/>
                <w:color w:val="000000" w:themeColor="text1"/>
                <w:sz w:val="22"/>
                <w:szCs w:val="22"/>
              </w:rPr>
              <w:t>Price (CA$)</w:t>
            </w:r>
          </w:p>
        </w:tc>
      </w:tr>
      <w:tr w:rsidR="3B1A9F9A" w14:paraId="2B11C415" w14:textId="77777777" w:rsidTr="3BAE2FDA">
        <w:trPr>
          <w:trHeight w:val="285"/>
          <w:jc w:val="center"/>
        </w:trPr>
        <w:tc>
          <w:tcPr>
            <w:tcW w:w="5630" w:type="dxa"/>
            <w:tcMar>
              <w:left w:w="108" w:type="dxa"/>
              <w:right w:w="108" w:type="dxa"/>
            </w:tcMar>
            <w:vAlign w:val="bottom"/>
          </w:tcPr>
          <w:p w14:paraId="3F60C442" w14:textId="1CC88DEE" w:rsidR="3B1A9F9A" w:rsidRDefault="3B1A9F9A" w:rsidP="3BAE2FDA">
            <w:r w:rsidRPr="3BAE2FDA">
              <w:rPr>
                <w:rFonts w:ascii="Aptos Narrow" w:eastAsia="Aptos Narrow" w:hAnsi="Aptos Narrow" w:cs="Aptos Narrow"/>
                <w:color w:val="000000" w:themeColor="text1"/>
                <w:sz w:val="22"/>
                <w:szCs w:val="22"/>
              </w:rPr>
              <w:t>Stochastic Environmental Research and Risk Assessment</w:t>
            </w:r>
          </w:p>
        </w:tc>
        <w:tc>
          <w:tcPr>
            <w:tcW w:w="1540" w:type="dxa"/>
            <w:tcMar>
              <w:left w:w="108" w:type="dxa"/>
              <w:right w:w="108" w:type="dxa"/>
            </w:tcMar>
            <w:vAlign w:val="bottom"/>
          </w:tcPr>
          <w:p w14:paraId="040765B8" w14:textId="4E1B539E" w:rsidR="3B1A9F9A" w:rsidRDefault="3B1A9F9A" w:rsidP="3BAE2FDA">
            <w:pPr>
              <w:jc w:val="center"/>
            </w:pPr>
            <w:r w:rsidRPr="3BAE2FDA">
              <w:rPr>
                <w:rFonts w:ascii="Aptos Narrow" w:eastAsia="Aptos Narrow" w:hAnsi="Aptos Narrow" w:cs="Aptos Narrow"/>
                <w:color w:val="000000" w:themeColor="text1"/>
                <w:sz w:val="22"/>
                <w:szCs w:val="22"/>
              </w:rPr>
              <w:t>$7,507</w:t>
            </w:r>
          </w:p>
        </w:tc>
      </w:tr>
      <w:tr w:rsidR="3B1A9F9A" w14:paraId="4A239008" w14:textId="77777777" w:rsidTr="3BAE2FDA">
        <w:trPr>
          <w:trHeight w:val="285"/>
          <w:jc w:val="center"/>
        </w:trPr>
        <w:tc>
          <w:tcPr>
            <w:tcW w:w="5630" w:type="dxa"/>
            <w:tcMar>
              <w:left w:w="108" w:type="dxa"/>
              <w:right w:w="108" w:type="dxa"/>
            </w:tcMar>
            <w:vAlign w:val="bottom"/>
          </w:tcPr>
          <w:p w14:paraId="7EB3B942" w14:textId="28894468" w:rsidR="3B1A9F9A" w:rsidRDefault="3B1A9F9A" w:rsidP="3BAE2FDA">
            <w:r w:rsidRPr="3BAE2FDA">
              <w:rPr>
                <w:rFonts w:ascii="Aptos Narrow" w:eastAsia="Aptos Narrow" w:hAnsi="Aptos Narrow" w:cs="Aptos Narrow"/>
                <w:color w:val="000000" w:themeColor="text1"/>
                <w:sz w:val="22"/>
                <w:szCs w:val="22"/>
              </w:rPr>
              <w:t>Reproductive Sciences</w:t>
            </w:r>
          </w:p>
        </w:tc>
        <w:tc>
          <w:tcPr>
            <w:tcW w:w="1540" w:type="dxa"/>
            <w:tcMar>
              <w:left w:w="108" w:type="dxa"/>
              <w:right w:w="108" w:type="dxa"/>
            </w:tcMar>
            <w:vAlign w:val="bottom"/>
          </w:tcPr>
          <w:p w14:paraId="79F00477" w14:textId="6ABB7D98" w:rsidR="3B1A9F9A" w:rsidRDefault="3B1A9F9A" w:rsidP="3BAE2FDA">
            <w:pPr>
              <w:jc w:val="center"/>
            </w:pPr>
            <w:r w:rsidRPr="3BAE2FDA">
              <w:rPr>
                <w:rFonts w:ascii="Aptos Narrow" w:eastAsia="Aptos Narrow" w:hAnsi="Aptos Narrow" w:cs="Aptos Narrow"/>
                <w:color w:val="000000" w:themeColor="text1"/>
                <w:sz w:val="22"/>
                <w:szCs w:val="22"/>
              </w:rPr>
              <w:t>$3,348</w:t>
            </w:r>
          </w:p>
        </w:tc>
      </w:tr>
      <w:tr w:rsidR="3B1A9F9A" w14:paraId="28ADB90D" w14:textId="77777777" w:rsidTr="3BAE2FDA">
        <w:trPr>
          <w:trHeight w:val="285"/>
          <w:jc w:val="center"/>
        </w:trPr>
        <w:tc>
          <w:tcPr>
            <w:tcW w:w="5630" w:type="dxa"/>
            <w:tcMar>
              <w:left w:w="108" w:type="dxa"/>
              <w:right w:w="108" w:type="dxa"/>
            </w:tcMar>
            <w:vAlign w:val="bottom"/>
          </w:tcPr>
          <w:p w14:paraId="7D136DE4" w14:textId="69DD914D" w:rsidR="3B1A9F9A" w:rsidRDefault="3B1A9F9A" w:rsidP="3BAE2FDA">
            <w:r w:rsidRPr="3BAE2FDA">
              <w:rPr>
                <w:rFonts w:ascii="Aptos Narrow" w:eastAsia="Aptos Narrow" w:hAnsi="Aptos Narrow" w:cs="Aptos Narrow"/>
                <w:color w:val="000000" w:themeColor="text1"/>
                <w:sz w:val="22"/>
                <w:szCs w:val="22"/>
              </w:rPr>
              <w:t>Statistics and Computing</w:t>
            </w:r>
          </w:p>
        </w:tc>
        <w:tc>
          <w:tcPr>
            <w:tcW w:w="1540" w:type="dxa"/>
            <w:tcMar>
              <w:left w:w="108" w:type="dxa"/>
              <w:right w:w="108" w:type="dxa"/>
            </w:tcMar>
            <w:vAlign w:val="bottom"/>
          </w:tcPr>
          <w:p w14:paraId="6F835103" w14:textId="18C15143" w:rsidR="3B1A9F9A" w:rsidRDefault="3B1A9F9A" w:rsidP="3BAE2FDA">
            <w:pPr>
              <w:jc w:val="center"/>
            </w:pPr>
            <w:r w:rsidRPr="3BAE2FDA">
              <w:rPr>
                <w:rFonts w:ascii="Aptos Narrow" w:eastAsia="Aptos Narrow" w:hAnsi="Aptos Narrow" w:cs="Aptos Narrow"/>
                <w:color w:val="000000" w:themeColor="text1"/>
                <w:sz w:val="22"/>
                <w:szCs w:val="22"/>
              </w:rPr>
              <w:t>$3,230</w:t>
            </w:r>
          </w:p>
        </w:tc>
      </w:tr>
      <w:tr w:rsidR="3B1A9F9A" w14:paraId="5AD92502" w14:textId="77777777" w:rsidTr="3BAE2FDA">
        <w:trPr>
          <w:trHeight w:val="285"/>
          <w:jc w:val="center"/>
        </w:trPr>
        <w:tc>
          <w:tcPr>
            <w:tcW w:w="5630" w:type="dxa"/>
            <w:tcMar>
              <w:left w:w="108" w:type="dxa"/>
              <w:right w:w="108" w:type="dxa"/>
            </w:tcMar>
            <w:vAlign w:val="bottom"/>
          </w:tcPr>
          <w:p w14:paraId="7E62B6A7" w14:textId="729533FB" w:rsidR="3B1A9F9A" w:rsidRDefault="3B1A9F9A" w:rsidP="3BAE2FDA">
            <w:r w:rsidRPr="3BAE2FDA">
              <w:rPr>
                <w:rFonts w:ascii="Aptos Narrow" w:eastAsia="Aptos Narrow" w:hAnsi="Aptos Narrow" w:cs="Aptos Narrow"/>
                <w:color w:val="000000" w:themeColor="text1"/>
                <w:sz w:val="22"/>
                <w:szCs w:val="22"/>
              </w:rPr>
              <w:t>European Journal of Epidemiology</w:t>
            </w:r>
          </w:p>
        </w:tc>
        <w:tc>
          <w:tcPr>
            <w:tcW w:w="1540" w:type="dxa"/>
            <w:tcMar>
              <w:left w:w="108" w:type="dxa"/>
              <w:right w:w="108" w:type="dxa"/>
            </w:tcMar>
            <w:vAlign w:val="bottom"/>
          </w:tcPr>
          <w:p w14:paraId="32AC3FB3" w14:textId="7ACE75D3" w:rsidR="3B1A9F9A" w:rsidRDefault="3B1A9F9A" w:rsidP="3BAE2FDA">
            <w:pPr>
              <w:jc w:val="center"/>
            </w:pPr>
            <w:r w:rsidRPr="3BAE2FDA">
              <w:rPr>
                <w:rFonts w:ascii="Aptos Narrow" w:eastAsia="Aptos Narrow" w:hAnsi="Aptos Narrow" w:cs="Aptos Narrow"/>
                <w:color w:val="000000" w:themeColor="text1"/>
                <w:sz w:val="22"/>
                <w:szCs w:val="22"/>
              </w:rPr>
              <w:t>$3,100</w:t>
            </w:r>
          </w:p>
        </w:tc>
      </w:tr>
      <w:tr w:rsidR="3B1A9F9A" w14:paraId="6B02A07E" w14:textId="77777777" w:rsidTr="3BAE2FDA">
        <w:trPr>
          <w:trHeight w:val="285"/>
          <w:jc w:val="center"/>
        </w:trPr>
        <w:tc>
          <w:tcPr>
            <w:tcW w:w="5630" w:type="dxa"/>
            <w:tcMar>
              <w:left w:w="108" w:type="dxa"/>
              <w:right w:w="108" w:type="dxa"/>
            </w:tcMar>
            <w:vAlign w:val="bottom"/>
          </w:tcPr>
          <w:p w14:paraId="26B02E8E" w14:textId="338F45E4" w:rsidR="3B1A9F9A" w:rsidRDefault="3B1A9F9A" w:rsidP="3BAE2FDA">
            <w:r w:rsidRPr="3BAE2FDA">
              <w:rPr>
                <w:rFonts w:ascii="Aptos Narrow" w:eastAsia="Aptos Narrow" w:hAnsi="Aptos Narrow" w:cs="Aptos Narrow"/>
                <w:color w:val="000000" w:themeColor="text1"/>
                <w:sz w:val="22"/>
                <w:szCs w:val="22"/>
              </w:rPr>
              <w:t>Current HIV/AIDS Reports</w:t>
            </w:r>
          </w:p>
        </w:tc>
        <w:tc>
          <w:tcPr>
            <w:tcW w:w="1540" w:type="dxa"/>
            <w:tcMar>
              <w:left w:w="108" w:type="dxa"/>
              <w:right w:w="108" w:type="dxa"/>
            </w:tcMar>
            <w:vAlign w:val="bottom"/>
          </w:tcPr>
          <w:p w14:paraId="01E970D0" w14:textId="70878C67" w:rsidR="3B1A9F9A" w:rsidRDefault="3B1A9F9A" w:rsidP="3BAE2FDA">
            <w:pPr>
              <w:jc w:val="center"/>
            </w:pPr>
            <w:r w:rsidRPr="3BAE2FDA">
              <w:rPr>
                <w:rFonts w:ascii="Aptos Narrow" w:eastAsia="Aptos Narrow" w:hAnsi="Aptos Narrow" w:cs="Aptos Narrow"/>
                <w:color w:val="000000" w:themeColor="text1"/>
                <w:sz w:val="22"/>
                <w:szCs w:val="22"/>
              </w:rPr>
              <w:t>$3,000</w:t>
            </w:r>
          </w:p>
        </w:tc>
      </w:tr>
      <w:tr w:rsidR="3B1A9F9A" w14:paraId="0EF9F549" w14:textId="77777777" w:rsidTr="3BAE2FDA">
        <w:trPr>
          <w:trHeight w:val="285"/>
          <w:jc w:val="center"/>
        </w:trPr>
        <w:tc>
          <w:tcPr>
            <w:tcW w:w="5630" w:type="dxa"/>
            <w:tcMar>
              <w:left w:w="108" w:type="dxa"/>
              <w:right w:w="108" w:type="dxa"/>
            </w:tcMar>
            <w:vAlign w:val="bottom"/>
          </w:tcPr>
          <w:p w14:paraId="716912BB" w14:textId="6B18B2AF" w:rsidR="3B1A9F9A" w:rsidRDefault="3B1A9F9A" w:rsidP="3BAE2FDA">
            <w:r w:rsidRPr="3BAE2FDA">
              <w:rPr>
                <w:rFonts w:ascii="Aptos Narrow" w:eastAsia="Aptos Narrow" w:hAnsi="Aptos Narrow" w:cs="Aptos Narrow"/>
                <w:color w:val="000000" w:themeColor="text1"/>
                <w:sz w:val="22"/>
                <w:szCs w:val="22"/>
              </w:rPr>
              <w:t>Current Epidemiology Reports</w:t>
            </w:r>
          </w:p>
        </w:tc>
        <w:tc>
          <w:tcPr>
            <w:tcW w:w="1540" w:type="dxa"/>
            <w:tcMar>
              <w:left w:w="108" w:type="dxa"/>
              <w:right w:w="108" w:type="dxa"/>
            </w:tcMar>
            <w:vAlign w:val="bottom"/>
          </w:tcPr>
          <w:p w14:paraId="0D538834" w14:textId="0317E445" w:rsidR="3B1A9F9A" w:rsidRDefault="3B1A9F9A" w:rsidP="3BAE2FDA">
            <w:pPr>
              <w:jc w:val="center"/>
            </w:pPr>
            <w:r w:rsidRPr="3BAE2FDA">
              <w:rPr>
                <w:rFonts w:ascii="Aptos Narrow" w:eastAsia="Aptos Narrow" w:hAnsi="Aptos Narrow" w:cs="Aptos Narrow"/>
                <w:color w:val="000000" w:themeColor="text1"/>
                <w:sz w:val="22"/>
                <w:szCs w:val="22"/>
              </w:rPr>
              <w:t>$2,810</w:t>
            </w:r>
          </w:p>
        </w:tc>
      </w:tr>
      <w:tr w:rsidR="3B1A9F9A" w14:paraId="05E5A106" w14:textId="77777777" w:rsidTr="3BAE2FDA">
        <w:trPr>
          <w:trHeight w:val="285"/>
          <w:jc w:val="center"/>
        </w:trPr>
        <w:tc>
          <w:tcPr>
            <w:tcW w:w="5630" w:type="dxa"/>
            <w:tcMar>
              <w:left w:w="108" w:type="dxa"/>
              <w:right w:w="108" w:type="dxa"/>
            </w:tcMar>
            <w:vAlign w:val="bottom"/>
          </w:tcPr>
          <w:p w14:paraId="09F8BCFA" w14:textId="3394E844" w:rsidR="3B1A9F9A" w:rsidRDefault="3B1A9F9A" w:rsidP="3BAE2FDA">
            <w:r w:rsidRPr="3BAE2FDA">
              <w:rPr>
                <w:rFonts w:ascii="Aptos Narrow" w:eastAsia="Aptos Narrow" w:hAnsi="Aptos Narrow" w:cs="Aptos Narrow"/>
                <w:color w:val="000000" w:themeColor="text1"/>
                <w:sz w:val="22"/>
                <w:szCs w:val="22"/>
              </w:rPr>
              <w:t>Current Infectious Disease Reports</w:t>
            </w:r>
          </w:p>
        </w:tc>
        <w:tc>
          <w:tcPr>
            <w:tcW w:w="1540" w:type="dxa"/>
            <w:tcMar>
              <w:left w:w="108" w:type="dxa"/>
              <w:right w:w="108" w:type="dxa"/>
            </w:tcMar>
            <w:vAlign w:val="bottom"/>
          </w:tcPr>
          <w:p w14:paraId="07A6DF54" w14:textId="3A7A8D52" w:rsidR="3B1A9F9A" w:rsidRDefault="3B1A9F9A" w:rsidP="3BAE2FDA">
            <w:pPr>
              <w:jc w:val="center"/>
            </w:pPr>
            <w:r w:rsidRPr="3BAE2FDA">
              <w:rPr>
                <w:rFonts w:ascii="Aptos Narrow" w:eastAsia="Aptos Narrow" w:hAnsi="Aptos Narrow" w:cs="Aptos Narrow"/>
                <w:color w:val="000000" w:themeColor="text1"/>
                <w:sz w:val="22"/>
                <w:szCs w:val="22"/>
              </w:rPr>
              <w:t>$2,699</w:t>
            </w:r>
          </w:p>
        </w:tc>
      </w:tr>
      <w:tr w:rsidR="3B1A9F9A" w14:paraId="52B34434" w14:textId="77777777" w:rsidTr="3BAE2FDA">
        <w:trPr>
          <w:trHeight w:val="285"/>
          <w:jc w:val="center"/>
        </w:trPr>
        <w:tc>
          <w:tcPr>
            <w:tcW w:w="5630" w:type="dxa"/>
            <w:tcMar>
              <w:left w:w="108" w:type="dxa"/>
              <w:right w:w="108" w:type="dxa"/>
            </w:tcMar>
            <w:vAlign w:val="bottom"/>
          </w:tcPr>
          <w:p w14:paraId="2F02F11C" w14:textId="6AF0C354" w:rsidR="3B1A9F9A" w:rsidRDefault="3B1A9F9A" w:rsidP="3BAE2FDA">
            <w:r w:rsidRPr="3BAE2FDA">
              <w:rPr>
                <w:rFonts w:ascii="Aptos Narrow" w:eastAsia="Aptos Narrow" w:hAnsi="Aptos Narrow" w:cs="Aptos Narrow"/>
                <w:color w:val="000000" w:themeColor="text1"/>
                <w:sz w:val="22"/>
                <w:szCs w:val="22"/>
              </w:rPr>
              <w:t>Journal of Urban Health</w:t>
            </w:r>
          </w:p>
        </w:tc>
        <w:tc>
          <w:tcPr>
            <w:tcW w:w="1540" w:type="dxa"/>
            <w:tcMar>
              <w:left w:w="108" w:type="dxa"/>
              <w:right w:w="108" w:type="dxa"/>
            </w:tcMar>
            <w:vAlign w:val="bottom"/>
          </w:tcPr>
          <w:p w14:paraId="78F59139" w14:textId="0B9D3F83" w:rsidR="3B1A9F9A" w:rsidRDefault="3B1A9F9A" w:rsidP="3BAE2FDA">
            <w:pPr>
              <w:jc w:val="center"/>
            </w:pPr>
            <w:r w:rsidRPr="3BAE2FDA">
              <w:rPr>
                <w:rFonts w:ascii="Aptos Narrow" w:eastAsia="Aptos Narrow" w:hAnsi="Aptos Narrow" w:cs="Aptos Narrow"/>
                <w:color w:val="000000" w:themeColor="text1"/>
                <w:sz w:val="22"/>
                <w:szCs w:val="22"/>
              </w:rPr>
              <w:t>$1,271</w:t>
            </w:r>
          </w:p>
        </w:tc>
      </w:tr>
      <w:tr w:rsidR="3B1A9F9A" w14:paraId="4F510194" w14:textId="77777777" w:rsidTr="3BAE2FDA">
        <w:trPr>
          <w:trHeight w:val="285"/>
          <w:jc w:val="center"/>
        </w:trPr>
        <w:tc>
          <w:tcPr>
            <w:tcW w:w="5630" w:type="dxa"/>
            <w:tcMar>
              <w:left w:w="108" w:type="dxa"/>
              <w:right w:w="108" w:type="dxa"/>
            </w:tcMar>
            <w:vAlign w:val="bottom"/>
          </w:tcPr>
          <w:p w14:paraId="602B81D0" w14:textId="2E658D37" w:rsidR="3B1A9F9A" w:rsidRDefault="3B1A9F9A" w:rsidP="3BAE2FDA">
            <w:r w:rsidRPr="3BAE2FDA">
              <w:rPr>
                <w:rFonts w:ascii="Aptos Narrow" w:eastAsia="Aptos Narrow" w:hAnsi="Aptos Narrow" w:cs="Aptos Narrow"/>
                <w:color w:val="000000" w:themeColor="text1"/>
                <w:sz w:val="22"/>
                <w:szCs w:val="22"/>
              </w:rPr>
              <w:t>Food and Environmental Virology</w:t>
            </w:r>
          </w:p>
        </w:tc>
        <w:tc>
          <w:tcPr>
            <w:tcW w:w="1540" w:type="dxa"/>
            <w:tcMar>
              <w:left w:w="108" w:type="dxa"/>
              <w:right w:w="108" w:type="dxa"/>
            </w:tcMar>
            <w:vAlign w:val="bottom"/>
          </w:tcPr>
          <w:p w14:paraId="0D197A79" w14:textId="2CA11DF1" w:rsidR="3B1A9F9A" w:rsidRDefault="3B1A9F9A" w:rsidP="3BAE2FDA">
            <w:pPr>
              <w:jc w:val="center"/>
            </w:pPr>
            <w:r w:rsidRPr="3BAE2FDA">
              <w:rPr>
                <w:rFonts w:ascii="Aptos Narrow" w:eastAsia="Aptos Narrow" w:hAnsi="Aptos Narrow" w:cs="Aptos Narrow"/>
                <w:color w:val="000000" w:themeColor="text1"/>
                <w:sz w:val="22"/>
                <w:szCs w:val="22"/>
              </w:rPr>
              <w:t>$919</w:t>
            </w:r>
          </w:p>
        </w:tc>
      </w:tr>
      <w:tr w:rsidR="3B1A9F9A" w14:paraId="7ECE722F" w14:textId="77777777" w:rsidTr="3BAE2FDA">
        <w:trPr>
          <w:trHeight w:val="285"/>
          <w:jc w:val="center"/>
        </w:trPr>
        <w:tc>
          <w:tcPr>
            <w:tcW w:w="5630" w:type="dxa"/>
            <w:tcMar>
              <w:left w:w="108" w:type="dxa"/>
              <w:right w:w="108" w:type="dxa"/>
            </w:tcMar>
            <w:vAlign w:val="bottom"/>
          </w:tcPr>
          <w:p w14:paraId="51666F4D" w14:textId="0B008B36" w:rsidR="3B1A9F9A" w:rsidRDefault="3B1A9F9A" w:rsidP="3BAE2FDA">
            <w:r w:rsidRPr="3BAE2FDA">
              <w:rPr>
                <w:rFonts w:ascii="Aptos Narrow" w:eastAsia="Aptos Narrow" w:hAnsi="Aptos Narrow" w:cs="Aptos Narrow"/>
                <w:color w:val="000000" w:themeColor="text1"/>
                <w:sz w:val="22"/>
                <w:szCs w:val="22"/>
              </w:rPr>
              <w:t>Infection</w:t>
            </w:r>
          </w:p>
        </w:tc>
        <w:tc>
          <w:tcPr>
            <w:tcW w:w="1540" w:type="dxa"/>
            <w:tcMar>
              <w:left w:w="108" w:type="dxa"/>
              <w:right w:w="108" w:type="dxa"/>
            </w:tcMar>
            <w:vAlign w:val="bottom"/>
          </w:tcPr>
          <w:p w14:paraId="35A27A76" w14:textId="202DDA22" w:rsidR="3B1A9F9A" w:rsidRDefault="3B1A9F9A" w:rsidP="3BAE2FDA">
            <w:pPr>
              <w:jc w:val="center"/>
            </w:pPr>
            <w:r w:rsidRPr="3BAE2FDA">
              <w:rPr>
                <w:rFonts w:ascii="Aptos Narrow" w:eastAsia="Aptos Narrow" w:hAnsi="Aptos Narrow" w:cs="Aptos Narrow"/>
                <w:color w:val="000000" w:themeColor="text1"/>
                <w:sz w:val="22"/>
                <w:szCs w:val="22"/>
              </w:rPr>
              <w:t>$792</w:t>
            </w:r>
          </w:p>
        </w:tc>
      </w:tr>
    </w:tbl>
    <w:p w14:paraId="798CBA9B" w14:textId="488AB6E3" w:rsidR="1E3E8698" w:rsidRDefault="1E3E8698" w:rsidP="3BAE2FDA">
      <w:pPr>
        <w:spacing w:before="220" w:after="220"/>
      </w:pPr>
      <w:r w:rsidRPr="3BAE2FDA">
        <w:rPr>
          <w:rFonts w:ascii="Arial" w:eastAsia="Arial" w:hAnsi="Arial" w:cs="Arial"/>
          <w:sz w:val="22"/>
          <w:szCs w:val="22"/>
          <w:lang w:val="en-US"/>
        </w:rPr>
        <w:t xml:space="preserve">Other gaps in biomedical journal access are generally for publishers to which the library subscribes to select titles rather than complete ‘bundles.’  These include BMJ specialty titles, Cell Press, Karger, Mary Ann Liebert, Nature specialty titles, Thieme, and Wolters Kluwer/OVID. </w:t>
      </w:r>
    </w:p>
    <w:p w14:paraId="3FE65671" w14:textId="057798DB" w:rsidR="1E3E8698" w:rsidRDefault="1E3E8698" w:rsidP="3BAE2FDA">
      <w:pPr>
        <w:spacing w:before="220" w:after="220"/>
      </w:pPr>
      <w:r w:rsidRPr="3BAE2FDA">
        <w:rPr>
          <w:rFonts w:ascii="Arial" w:eastAsia="Arial" w:hAnsi="Arial" w:cs="Arial"/>
          <w:b/>
          <w:bCs/>
          <w:sz w:val="22"/>
          <w:szCs w:val="22"/>
          <w:lang w:val="en-US"/>
        </w:rPr>
        <w:t>Books:</w:t>
      </w:r>
      <w:r w:rsidRPr="3BAE2FDA">
        <w:rPr>
          <w:rFonts w:ascii="Arial" w:eastAsia="Arial" w:hAnsi="Arial" w:cs="Arial"/>
          <w:sz w:val="22"/>
          <w:szCs w:val="22"/>
          <w:lang w:val="en-US"/>
        </w:rPr>
        <w:t xml:space="preserve"> The library attempts to comprehensively acquire all titles in veterinary science, and holds a strong collection of current science and social science e-books. Most titles in the DVM curriculum are licensed, except where online access is not available for library purchase or is prohibitively expensive. Important veterinary textbook publishers, notably Elsevier’s Saunders and Mosby imprints, as well as Wiley, Pearson, McGraw Hill, and Cengage, refuse to license unlimited textbook access to libraries at reasonable prices because print sales and e-book rentals to students are central to their business models. As a result, many titles are only available with inconvenient restrictions: arbitrary ‘loan periods’ (e.g. 2 weeks); few simultaneous users (usually 1-3); and limited downloading and printing (e.g. 30 pages). The library obtains the best available licenses, but in some cases, print remains the only option.</w:t>
      </w:r>
    </w:p>
    <w:p w14:paraId="47D5BA56" w14:textId="0B99E34E" w:rsidR="1E3E8698" w:rsidRDefault="1E3E8698" w:rsidP="3BAE2FDA">
      <w:pPr>
        <w:spacing w:before="220" w:after="220"/>
      </w:pPr>
      <w:r w:rsidRPr="3BAE2FDA">
        <w:rPr>
          <w:rFonts w:ascii="Arial" w:eastAsia="Arial" w:hAnsi="Arial" w:cs="Arial"/>
          <w:b/>
          <w:bCs/>
          <w:sz w:val="22"/>
          <w:szCs w:val="22"/>
          <w:lang w:val="en-US"/>
        </w:rPr>
        <w:t>Databases</w:t>
      </w:r>
      <w:r w:rsidRPr="3BAE2FDA">
        <w:rPr>
          <w:rFonts w:ascii="Arial" w:eastAsia="Arial" w:hAnsi="Arial" w:cs="Arial"/>
          <w:sz w:val="22"/>
          <w:szCs w:val="22"/>
          <w:lang w:val="en-US"/>
        </w:rPr>
        <w:t xml:space="preserve">: Students have access to a variety of literature indexes, including Web of Science, Medline/PubMed, </w:t>
      </w:r>
      <w:r w:rsidR="60C87B24" w:rsidRPr="3BAE2FDA">
        <w:rPr>
          <w:rFonts w:ascii="Arial" w:eastAsia="Arial" w:hAnsi="Arial" w:cs="Arial"/>
          <w:sz w:val="22"/>
          <w:szCs w:val="22"/>
          <w:lang w:val="en-US"/>
        </w:rPr>
        <w:t xml:space="preserve">CINAHL, </w:t>
      </w:r>
      <w:r w:rsidRPr="3BAE2FDA">
        <w:rPr>
          <w:rFonts w:ascii="Arial" w:eastAsia="Arial" w:hAnsi="Arial" w:cs="Arial"/>
          <w:sz w:val="22"/>
          <w:szCs w:val="22"/>
          <w:lang w:val="en-US"/>
        </w:rPr>
        <w:t>Cochrane Library, ProQuest Natural Science, CAB Direct, and AGRICOLA. The library catalogue, OMNI, searches the holdings of nearly all Ontario university libraries and enables easy borrowing of print works from other schools.</w:t>
      </w:r>
    </w:p>
    <w:p w14:paraId="781EB794" w14:textId="11954D41" w:rsidR="1E3E8698" w:rsidRDefault="1E3E8698" w:rsidP="3BAE2FDA">
      <w:pPr>
        <w:spacing w:before="220" w:after="220"/>
      </w:pPr>
      <w:r w:rsidRPr="3BAE2FDA">
        <w:rPr>
          <w:rFonts w:ascii="Arial" w:eastAsia="Arial" w:hAnsi="Arial" w:cs="Arial"/>
          <w:sz w:val="22"/>
          <w:szCs w:val="22"/>
          <w:lang w:val="en-US"/>
        </w:rPr>
        <w:t>Non-subscribed databases, mainly affecting knowledge synthesis research, include Scopus and EMBASE, which together would cost nearly CA$ 200,000 per year.</w:t>
      </w:r>
    </w:p>
    <w:p w14:paraId="34841E51" w14:textId="44143033" w:rsidR="3B1A9F9A" w:rsidRDefault="1E3E8698" w:rsidP="3BAE2FDA">
      <w:pPr>
        <w:spacing w:before="220" w:after="220"/>
      </w:pPr>
      <w:r w:rsidRPr="3BAE2FDA">
        <w:rPr>
          <w:rFonts w:ascii="Arial" w:eastAsia="Arial" w:hAnsi="Arial" w:cs="Arial"/>
          <w:b/>
          <w:bCs/>
          <w:sz w:val="22"/>
          <w:szCs w:val="22"/>
          <w:lang w:val="en-US"/>
        </w:rPr>
        <w:t>Research Methods &amp; Protocols</w:t>
      </w:r>
      <w:r w:rsidRPr="3BAE2FDA">
        <w:rPr>
          <w:rFonts w:ascii="Arial" w:eastAsia="Arial" w:hAnsi="Arial" w:cs="Arial"/>
          <w:sz w:val="22"/>
          <w:szCs w:val="22"/>
          <w:lang w:val="en-US"/>
        </w:rPr>
        <w:t>: Journals dominate the literature; however, methods are often impossible to replicate from the brief descriptions written up in research articles.  To help overcome this challenge, the library collects books, monographic series, and databases that provide in-depth detail about experimental procedures. Notable examples include Cold Spring Harbor Protocols; Journal of Visualized Experiments (JoVE); Methods in Enzymology (Elsevier); SpringerNature Experiments; and Wiley Protocols.</w:t>
      </w:r>
      <w:bookmarkStart w:id="1" w:name="_Toc247277356"/>
    </w:p>
    <w:p w14:paraId="42E55B52" w14:textId="77777777" w:rsidR="00E8253B" w:rsidRPr="00462764" w:rsidRDefault="00E8253B" w:rsidP="00CB1A40">
      <w:pPr>
        <w:pStyle w:val="Heading2"/>
      </w:pPr>
      <w:r>
        <w:lastRenderedPageBreak/>
        <w:t>Academic and Professional Skills</w:t>
      </w:r>
    </w:p>
    <w:p w14:paraId="73ED2D28" w14:textId="77777777" w:rsidR="00E8253B" w:rsidRPr="004649DD" w:rsidRDefault="00E8253B" w:rsidP="00CB1A40">
      <w:pPr>
        <w:pStyle w:val="Heading3"/>
      </w:pPr>
      <w:bookmarkStart w:id="2" w:name="_Hlk68598352"/>
      <w:r>
        <w:t xml:space="preserve">Research, Information Literacy and Knowledge Synthesis  </w:t>
      </w:r>
    </w:p>
    <w:p w14:paraId="727CF856" w14:textId="28FF46CB" w:rsidR="00E8253B" w:rsidRPr="009D488A" w:rsidRDefault="00E8253B" w:rsidP="3BAE2FDA">
      <w:pPr>
        <w:pStyle w:val="Body"/>
      </w:pPr>
      <w:r>
        <w:t>Information literacy (IL) librarians support students in developing the skills and knowledge necessary to find, manage, and critically evaluate information, with a focus on the scholarly literature and other forms of information specifically relevant to their discipline. IL librarians also seek to help students to develop a critical understanding of the systems of power that control the creation, distribution, and commodification of information.</w:t>
      </w:r>
    </w:p>
    <w:p w14:paraId="3F5001E4" w14:textId="77777777" w:rsidR="00E8253B" w:rsidRDefault="00E8253B" w:rsidP="00CB1A40">
      <w:pPr>
        <w:pStyle w:val="Body"/>
        <w:spacing w:before="240"/>
      </w:pPr>
      <w:r>
        <w:t>IL librarians prioritize curriculum-integrated support to required courses that have research skills assignments or components. Such courses can be supported via guest lectures; customized digital learning objects, such as interactive tutorials or course guides; and/or one-on-one or small group consultations with librarians.</w:t>
      </w:r>
    </w:p>
    <w:p w14:paraId="53FF15E7" w14:textId="3C821E36" w:rsidR="00E8253B" w:rsidRPr="009D488A" w:rsidRDefault="00E8253B" w:rsidP="00CB1A40">
      <w:pPr>
        <w:pStyle w:val="Body"/>
        <w:spacing w:before="240"/>
      </w:pPr>
      <w:r>
        <w:t>In graduate programs, IL librarians seek to support students through a variety of means, including course-integrated support, an appearance at an orientation event, and one-on-one or small group consultations. Graduate students working on theses, dissertations, or major research projects are primarily supported via one-on-one consultations.</w:t>
      </w:r>
      <w:r w:rsidR="42EB47E1">
        <w:t xml:space="preserve"> Researchers working on knowledge synthesis projects, such as systematic or scoping reviews, are also supported via one-on-one consultations with IL librarians. </w:t>
      </w:r>
      <w:r w:rsidR="7EF10204">
        <w:t xml:space="preserve">There is strong demand for </w:t>
      </w:r>
      <w:r w:rsidR="5A673780">
        <w:t xml:space="preserve">consultations from graduate students in </w:t>
      </w:r>
      <w:r w:rsidR="387768A5">
        <w:t>all</w:t>
      </w:r>
      <w:r w:rsidR="5A673780">
        <w:t xml:space="preserve"> the programs under review</w:t>
      </w:r>
      <w:r w:rsidR="2CF853DD">
        <w:t xml:space="preserve">, with knowledge synthesis consultations representing a large proportion of </w:t>
      </w:r>
      <w:r w:rsidR="31193E9B">
        <w:t>those consultations.</w:t>
      </w:r>
    </w:p>
    <w:p w14:paraId="77B53DD4" w14:textId="57D40498" w:rsidR="00E8253B" w:rsidRPr="009D488A" w:rsidRDefault="00E8253B" w:rsidP="00CB1A40">
      <w:pPr>
        <w:pStyle w:val="Body"/>
        <w:spacing w:before="240"/>
      </w:pPr>
      <w:r>
        <w:t>IL librarians have been</w:t>
      </w:r>
      <w:r w:rsidR="2867A040">
        <w:t xml:space="preserve"> consistently</w:t>
      </w:r>
      <w:r>
        <w:t xml:space="preserve"> involved in </w:t>
      </w:r>
      <w:r w:rsidR="1D860990">
        <w:t>POPM*6100</w:t>
      </w:r>
      <w:r>
        <w:t xml:space="preserve">, which is a required </w:t>
      </w:r>
      <w:r w:rsidR="038894E5">
        <w:t>seminar</w:t>
      </w:r>
      <w:r>
        <w:t xml:space="preserve"> course for students enrolled in the </w:t>
      </w:r>
      <w:r w:rsidR="241944E5">
        <w:t xml:space="preserve">Population Medicine MSc and PhD programs. They have also been consistently involved in POPM*6510, which is a required course in the </w:t>
      </w:r>
      <w:r w:rsidR="55AA7CD6">
        <w:t>Public Health MPH program and one of the available courses for the Public Health Graduate Diploma.</w:t>
      </w:r>
    </w:p>
    <w:bookmarkEnd w:id="2"/>
    <w:p w14:paraId="6A6614B2" w14:textId="77777777" w:rsidR="00E8253B" w:rsidRPr="004649DD" w:rsidRDefault="00E8253B" w:rsidP="00CB1A40">
      <w:pPr>
        <w:pStyle w:val="Heading3"/>
      </w:pPr>
      <w:r>
        <w:t xml:space="preserve">Writing Services  </w:t>
      </w:r>
    </w:p>
    <w:p w14:paraId="1C3D1FE7" w14:textId="69F87C52" w:rsidR="5D6D24C7" w:rsidRDefault="5D6D24C7" w:rsidP="3BAE2FDA">
      <w:pPr>
        <w:rPr>
          <w:rFonts w:ascii="DM Sans 14pt" w:eastAsia="DM Sans 14pt" w:hAnsi="DM Sans 14pt" w:cs="DM Sans 14pt"/>
          <w:color w:val="000000" w:themeColor="text1"/>
          <w:sz w:val="22"/>
          <w:szCs w:val="22"/>
        </w:rPr>
      </w:pPr>
      <w:r w:rsidRPr="3BAE2FDA">
        <w:rPr>
          <w:rFonts w:ascii="DM Sans 14pt" w:eastAsia="DM Sans 14pt" w:hAnsi="DM Sans 14pt" w:cs="DM Sans 14pt"/>
          <w:color w:val="000000" w:themeColor="text1"/>
          <w:sz w:val="22"/>
          <w:szCs w:val="22"/>
          <w:lang w:val="en-US"/>
        </w:rPr>
        <w:t xml:space="preserve">Writing Services provides support to undergraduate and graduate students, postdoctoral researchers, faculty, and visiting scholars through a range of programs and services, including individual writing appointments, in-class guest lectures, curricular support and resources, and extensive co-curricular programming such as Dissertation Writing Retreat (a week-long intensive program for graduate students) and the Writing in the Sciences Workshop series. Writing Services offers dedicated appointments and workshops for students for whom English is an additional language. Writing Services also offers the annual Faculty Writing Retreat, a week-long intensive </w:t>
      </w:r>
      <w:r w:rsidRPr="3BAE2FDA">
        <w:rPr>
          <w:rFonts w:ascii="DM Sans 14pt" w:eastAsia="DM Sans 14pt" w:hAnsi="DM Sans 14pt" w:cs="DM Sans 14pt"/>
          <w:color w:val="000000" w:themeColor="text1"/>
          <w:sz w:val="22"/>
          <w:szCs w:val="22"/>
          <w:lang w:val="en-US"/>
        </w:rPr>
        <w:lastRenderedPageBreak/>
        <w:t>program for faculty. Participants report high productivity in preparing research grant proposals and preparing manuscripts for publication.</w:t>
      </w:r>
    </w:p>
    <w:p w14:paraId="112C0BE0" w14:textId="1905B55C" w:rsidR="5D6D24C7" w:rsidRDefault="5D6D24C7" w:rsidP="00CB1A40">
      <w:pPr>
        <w:spacing w:before="240"/>
        <w:rPr>
          <w:rFonts w:ascii="DM Sans 14pt" w:eastAsia="DM Sans 14pt" w:hAnsi="DM Sans 14pt" w:cs="DM Sans 14pt"/>
          <w:color w:val="000000" w:themeColor="text1"/>
          <w:sz w:val="22"/>
          <w:szCs w:val="22"/>
        </w:rPr>
      </w:pPr>
      <w:r w:rsidRPr="3BAE2FDA">
        <w:rPr>
          <w:rFonts w:ascii="DM Sans 14pt" w:eastAsia="DM Sans 14pt" w:hAnsi="DM Sans 14pt" w:cs="DM Sans 14pt"/>
          <w:color w:val="000000" w:themeColor="text1"/>
          <w:sz w:val="22"/>
          <w:szCs w:val="22"/>
          <w:lang w:val="en-US"/>
        </w:rPr>
        <w:t>Between 2019 and 2024, 27 graduate students in Population Medicine participated in the Dissertation Writing Retreat program.</w:t>
      </w:r>
    </w:p>
    <w:p w14:paraId="60CC357D" w14:textId="77777777" w:rsidR="00E8253B" w:rsidRPr="00B31CC8" w:rsidRDefault="00E8253B" w:rsidP="00CB1A40">
      <w:pPr>
        <w:pStyle w:val="Heading3"/>
      </w:pPr>
      <w:r>
        <w:t>Learning Services</w:t>
      </w:r>
    </w:p>
    <w:p w14:paraId="4139E104" w14:textId="2135065B" w:rsidR="0C16A774" w:rsidRDefault="0C16A774" w:rsidP="3BAE2FDA">
      <w:pPr>
        <w:pStyle w:val="Body"/>
        <w:rPr>
          <w:rFonts w:eastAsia="DM Sans 14pt" w:cs="DM Sans 14pt"/>
        </w:rPr>
      </w:pPr>
      <w:r w:rsidRPr="3BAE2FDA">
        <w:rPr>
          <w:rFonts w:eastAsia="DM Sans 14pt" w:cs="DM Sans 14pt"/>
        </w:rPr>
        <w:t>Learning Services supports students in the learning process and in the development of academic skills related to study strategies, time management, and presentation skills. They provide in-class guest lectures, individual appointments with students, workshops, and resources.</w:t>
      </w:r>
    </w:p>
    <w:bookmarkEnd w:id="1"/>
    <w:p w14:paraId="24A27BFB" w14:textId="77777777" w:rsidR="00E8253B" w:rsidRPr="00B31CC8" w:rsidRDefault="00E8253B" w:rsidP="00CB1A40">
      <w:pPr>
        <w:pStyle w:val="Heading3"/>
      </w:pPr>
      <w:r>
        <w:t>Scholarship and Data Services </w:t>
      </w:r>
      <w:r w:rsidRPr="3BAE2FDA">
        <w:rPr>
          <w:rFonts w:ascii="Arial" w:eastAsia="Arial" w:hAnsi="Arial" w:cs="Arial"/>
        </w:rPr>
        <w:t xml:space="preserve"> </w:t>
      </w:r>
    </w:p>
    <w:p w14:paraId="78730CD6" w14:textId="097AB90A" w:rsidR="00E8253B" w:rsidRPr="0036758A" w:rsidRDefault="3DDB2A66" w:rsidP="3BAE2FDA">
      <w:pPr>
        <w:pStyle w:val="Body"/>
        <w:rPr>
          <w:rFonts w:eastAsia="DM Sans 14pt" w:cs="DM Sans 14pt"/>
        </w:rPr>
      </w:pPr>
      <w:r w:rsidRPr="3BAE2FDA">
        <w:rPr>
          <w:rFonts w:eastAsia="DM Sans 14pt" w:cs="DM Sans 14pt"/>
        </w:rPr>
        <w:t>We provide support for students’ data and publishing activities, especially at the senior undergraduate and graduate levels through individual appointments, in-class teaching, specialized drop-in workshops, and customized digital learning objects such as instruction sheets, videos, and tutorials. The library provides access to data resources and software, as well as specialist support for the use and analysis of GIS, textual, quantitative, and qualitative data. We support research data management and manage the institutional and data repositories. Members of the R&amp;S Team provide support for publishing matters, including exploring open access options, evaluating journals, and understanding copyright and licensing considerations.</w:t>
      </w:r>
    </w:p>
    <w:sectPr w:rsidR="00E8253B" w:rsidRPr="0036758A" w:rsidSect="00DC6D4E">
      <w:headerReference w:type="default" r:id="rId11"/>
      <w:footerReference w:type="even" r:id="rId12"/>
      <w:footerReference w:type="default" r:id="rId13"/>
      <w:headerReference w:type="first" r:id="rId14"/>
      <w:footerReference w:type="first" r:id="rId15"/>
      <w:pgSz w:w="12240" w:h="15840"/>
      <w:pgMar w:top="1440" w:right="1080" w:bottom="1440" w:left="1080" w:header="1140" w:footer="13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C6561" w14:textId="77777777" w:rsidR="003F384B" w:rsidRDefault="003F384B" w:rsidP="000D2F8B">
      <w:r>
        <w:separator/>
      </w:r>
    </w:p>
  </w:endnote>
  <w:endnote w:type="continuationSeparator" w:id="0">
    <w:p w14:paraId="28BBE221" w14:textId="77777777" w:rsidR="003F384B" w:rsidRDefault="003F384B" w:rsidP="000D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erstadt">
    <w:charset w:val="00"/>
    <w:family w:val="swiss"/>
    <w:pitch w:val="variable"/>
    <w:sig w:usb0="80000003" w:usb1="00000001" w:usb2="00000000" w:usb3="00000000" w:csb0="00000001" w:csb1="00000000"/>
    <w:embedRegular r:id="rId1" w:fontKey="{6EE413CD-9AF9-4A45-8B81-956C4BD73356}"/>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F5BB283-0AAD-434C-B4CC-35B32A2B68A1}"/>
    <w:embedBold r:id="rId3" w:fontKey="{426F6ACB-BE3E-4FA1-8A22-A267D957F06C}"/>
    <w:embedBoldItalic r:id="rId4" w:fontKey="{E53D71E2-7FC6-4695-AFF4-966FEE07BDAC}"/>
  </w:font>
  <w:font w:name="Bitter">
    <w:panose1 w:val="00000000000000000000"/>
    <w:charset w:val="00"/>
    <w:family w:val="auto"/>
    <w:pitch w:val="variable"/>
    <w:sig w:usb0="A00002FF" w:usb1="400020FB" w:usb2="00000000" w:usb3="00000000" w:csb0="00000197" w:csb1="00000000"/>
    <w:embedRegular r:id="rId5" w:fontKey="{301C4820-E034-4BAA-95F6-DFE24F51F27C}"/>
    <w:embedBold r:id="rId6" w:fontKey="{717B7056-5BFC-46A3-8FA9-2E58B1D70E9D}"/>
  </w:font>
  <w:font w:name="Helvetica">
    <w:panose1 w:val="020B0604020202020204"/>
    <w:charset w:val="00"/>
    <w:family w:val="swiss"/>
    <w:pitch w:val="variable"/>
    <w:sig w:usb0="E0002EFF" w:usb1="C000785B" w:usb2="00000009" w:usb3="00000000" w:csb0="000001FF" w:csb1="00000000"/>
    <w:embedRegular r:id="rId7" w:fontKey="{115C1F3A-FFBF-449C-BC2A-6EE85E39DDC1}"/>
    <w:embedBold r:id="rId8" w:fontKey="{6DE8BC1B-D450-44CA-8520-1FBD89B731C4}"/>
  </w:font>
  <w:font w:name="DM Sans 14pt">
    <w:panose1 w:val="00000000000000000000"/>
    <w:charset w:val="00"/>
    <w:family w:val="auto"/>
    <w:pitch w:val="variable"/>
    <w:sig w:usb0="8000002F" w:usb1="4000204B" w:usb2="00000000" w:usb3="00000000" w:csb0="00000093" w:csb1="00000000"/>
    <w:embedRegular r:id="rId9" w:fontKey="{1C7D2F99-FE2A-4A8C-8FE4-0BE8D9DE7FC0}"/>
    <w:embedBold r:id="rId10" w:fontKey="{A1F0C38B-86AD-4205-9F66-2869C3E5A81D}"/>
  </w:font>
  <w:font w:name="Calibri Light">
    <w:panose1 w:val="020F0302020204030204"/>
    <w:charset w:val="00"/>
    <w:family w:val="swiss"/>
    <w:pitch w:val="variable"/>
    <w:sig w:usb0="E4002EFF" w:usb1="C200247B" w:usb2="00000009" w:usb3="00000000" w:csb0="000001FF" w:csb1="00000000"/>
    <w:embedRegular r:id="rId11" w:fontKey="{66EC66AD-3F49-4442-A317-7A58BEF030C0}"/>
  </w:font>
  <w:font w:name="Arial (Body)">
    <w:altName w:val="Arial"/>
    <w:charset w:val="00"/>
    <w:family w:val="roman"/>
    <w:pitch w:val="default"/>
  </w:font>
  <w:font w:name="Times">
    <w:panose1 w:val="02020603050405020304"/>
    <w:charset w:val="00"/>
    <w:family w:val="roman"/>
    <w:pitch w:val="variable"/>
    <w:sig w:usb0="E0002EFF" w:usb1="C000785B" w:usb2="00000009" w:usb3="00000000" w:csb0="000001FF" w:csb1="00000000"/>
    <w:embedRegular r:id="rId12" w:fontKey="{7212DE07-E3C7-4EA6-B617-9F2EB48A4BA6}"/>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3" w:fontKey="{7519FFC2-0927-4575-A618-8AE436A9F555}"/>
    <w:embedBold r:id="rId14" w:fontKey="{050F41B2-C3EC-413A-86D8-0D2B0F796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840984"/>
      <w:docPartObj>
        <w:docPartGallery w:val="Page Numbers (Bottom of Page)"/>
        <w:docPartUnique/>
      </w:docPartObj>
    </w:sdtPr>
    <w:sdtContent>
      <w:p w14:paraId="01A3681D" w14:textId="7F7F8D37" w:rsidR="000D2F8B" w:rsidRDefault="000D2F8B" w:rsidP="004A5D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2C63D8" w14:textId="77777777" w:rsidR="000D2F8B" w:rsidRDefault="000D2F8B" w:rsidP="000D2F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EEBD" w14:textId="77777777" w:rsidR="004A5DD5" w:rsidRDefault="004A5DD5" w:rsidP="000D2F8B">
    <w:pPr>
      <w:pStyle w:val="Footer"/>
      <w:ind w:right="360"/>
    </w:pPr>
  </w:p>
  <w:p w14:paraId="09174C57"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5DD85ABA" w14:textId="0216E1F7" w:rsidR="007A6C7B" w:rsidRPr="007A6C7B" w:rsidRDefault="000A3B16" w:rsidP="007A6C7B">
    <w:pPr>
      <w:pStyle w:val="Footer"/>
      <w:rPr>
        <w:rFonts w:ascii="DM Sans 14pt" w:hAnsi="DM Sans 14pt" w:cs="Helvetica"/>
        <w:bCs/>
        <w:sz w:val="18"/>
        <w:szCs w:val="18"/>
      </w:rPr>
    </w:pPr>
    <w:r>
      <w:rPr>
        <w:rFonts w:ascii="DM Sans 14pt" w:hAnsi="DM Sans 14pt" w:cs="Helvetica"/>
        <w:bCs/>
        <w:sz w:val="18"/>
        <w:szCs w:val="18"/>
      </w:rPr>
      <w:t>McLaughlin Library</w:t>
    </w:r>
  </w:p>
  <w:p w14:paraId="501D8974"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82F18F6"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7E598048" w14:textId="0891B7AF" w:rsidR="000D2F8B" w:rsidRPr="00FB77EB" w:rsidRDefault="007A6C7B" w:rsidP="007A6C7B">
    <w:pPr>
      <w:pStyle w:val="Footer"/>
      <w:rPr>
        <w:rFonts w:ascii="DM Sans 14pt" w:hAnsi="DM Sans 14pt" w:cs="Helvetica"/>
        <w:sz w:val="18"/>
        <w:szCs w:val="18"/>
      </w:rPr>
    </w:pPr>
    <w:r w:rsidRPr="00BD4818">
      <w:rPr>
        <w:rFonts w:ascii="DM Sans 14pt" w:hAnsi="DM Sans 14pt" w:cs="Helvetica"/>
        <w:noProof/>
        <w:sz w:val="18"/>
        <w:szCs w:val="18"/>
        <w:highlight w:val="yellow"/>
      </w:rPr>
      <w:drawing>
        <wp:anchor distT="0" distB="0" distL="114300" distR="114300" simplePos="0" relativeHeight="251660288" behindDoc="0" locked="0" layoutInCell="1" allowOverlap="1" wp14:anchorId="3A219963" wp14:editId="2911F61C">
          <wp:simplePos x="0" y="0"/>
          <wp:positionH relativeFrom="column">
            <wp:posOffset>4286362</wp:posOffset>
          </wp:positionH>
          <wp:positionV relativeFrom="paragraph">
            <wp:posOffset>85090</wp:posOffset>
          </wp:positionV>
          <wp:extent cx="1613647" cy="179639"/>
          <wp:effectExtent l="0" t="0" r="0" b="0"/>
          <wp:wrapNone/>
          <wp:docPr id="168906240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2403"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0A3B16" w:rsidRPr="00221B59">
        <w:rPr>
          <w:rStyle w:val="Hyperlink"/>
          <w:rFonts w:ascii="DM Sans 14pt" w:hAnsi="DM Sans 14pt" w:cs="Helvetica"/>
          <w:color w:val="E51937"/>
          <w:sz w:val="18"/>
          <w:szCs w:val="18"/>
        </w:rPr>
        <w:t>lib.uoguelph.ca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70FC"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2F2E9CC4" w14:textId="2F24F381" w:rsidR="00F63A03" w:rsidRPr="007A6C7B" w:rsidRDefault="00F63A03" w:rsidP="007A6C7B">
    <w:pPr>
      <w:pStyle w:val="Footer"/>
      <w:rPr>
        <w:rFonts w:ascii="DM Sans 14pt" w:hAnsi="DM Sans 14pt" w:cs="Helvetica"/>
        <w:bCs/>
        <w:sz w:val="18"/>
        <w:szCs w:val="18"/>
      </w:rPr>
    </w:pPr>
    <w:r w:rsidRPr="007A6C7B">
      <w:rPr>
        <w:rFonts w:ascii="DM Sans 14pt" w:hAnsi="DM Sans 14pt" w:cs="Helvetica"/>
        <w:bCs/>
        <w:sz w:val="18"/>
        <w:szCs w:val="18"/>
      </w:rPr>
      <w:t>Department Name</w:t>
    </w:r>
  </w:p>
  <w:p w14:paraId="2A40E3B2" w14:textId="20062D34"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66BEB00" w14:textId="1D724B22"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45230F7B" w14:textId="32E571FC" w:rsidR="00F63A03" w:rsidRPr="00FB77EB" w:rsidRDefault="00FB77EB" w:rsidP="007A6C7B">
    <w:pPr>
      <w:pStyle w:val="Footer"/>
      <w:rPr>
        <w:rFonts w:ascii="DM Sans 14pt" w:hAnsi="DM Sans 14pt" w:cs="Helvetica"/>
        <w:sz w:val="18"/>
        <w:szCs w:val="18"/>
      </w:rPr>
    </w:pPr>
    <w:r w:rsidRPr="00FB77EB">
      <w:rPr>
        <w:rFonts w:ascii="DM Sans 14pt" w:hAnsi="DM Sans 14pt" w:cs="Helvetica"/>
        <w:sz w:val="18"/>
        <w:szCs w:val="18"/>
      </w:rPr>
      <w:t>(</w:t>
    </w:r>
    <w:r w:rsidR="00F63A03" w:rsidRPr="00FB77EB">
      <w:rPr>
        <w:rFonts w:ascii="DM Sans 14pt" w:hAnsi="DM Sans 14pt" w:cs="Helvetica"/>
        <w:sz w:val="18"/>
        <w:szCs w:val="18"/>
      </w:rPr>
      <w:t>519) 824-4120 x56934</w:t>
    </w:r>
  </w:p>
  <w:p w14:paraId="7EA90A7E" w14:textId="7A905B97" w:rsidR="00C51931" w:rsidRPr="00FB77EB" w:rsidRDefault="00FB77EB" w:rsidP="007A6C7B">
    <w:pPr>
      <w:pStyle w:val="Footer"/>
      <w:rPr>
        <w:rFonts w:ascii="DM Sans 14pt" w:hAnsi="DM Sans 14pt" w:cs="Helvetica"/>
        <w:sz w:val="18"/>
        <w:szCs w:val="18"/>
      </w:rPr>
    </w:pPr>
    <w:r w:rsidRPr="00FB77EB">
      <w:rPr>
        <w:rFonts w:ascii="DM Sans 14pt" w:hAnsi="DM Sans 14pt" w:cs="Helvetica"/>
        <w:noProof/>
        <w:sz w:val="18"/>
        <w:szCs w:val="18"/>
      </w:rPr>
      <w:drawing>
        <wp:anchor distT="0" distB="0" distL="114300" distR="114300" simplePos="0" relativeHeight="251658240" behindDoc="0" locked="0" layoutInCell="1" allowOverlap="1" wp14:anchorId="09B95866" wp14:editId="08E3954D">
          <wp:simplePos x="0" y="0"/>
          <wp:positionH relativeFrom="column">
            <wp:posOffset>4286362</wp:posOffset>
          </wp:positionH>
          <wp:positionV relativeFrom="paragraph">
            <wp:posOffset>85090</wp:posOffset>
          </wp:positionV>
          <wp:extent cx="1613647" cy="179639"/>
          <wp:effectExtent l="0" t="0" r="0" b="0"/>
          <wp:wrapNone/>
          <wp:docPr id="689265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59"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r w:rsidR="00F63A03" w:rsidRPr="00FB77EB">
      <w:rPr>
        <w:rFonts w:ascii="DM Sans 14pt" w:hAnsi="DM Sans 14pt" w:cs="Helvetica"/>
        <w:sz w:val="18"/>
        <w:szCs w:val="18"/>
      </w:rPr>
      <w:t>example@uoguelph.ca</w:t>
    </w:r>
    <w:r w:rsidR="00F63A03" w:rsidRPr="00FB77EB">
      <w:rPr>
        <w:rFonts w:ascii="DM Sans 14pt" w:hAnsi="DM Sans 14pt" w:cs="Helvetica"/>
        <w:sz w:val="18"/>
        <w:szCs w:val="18"/>
      </w:rPr>
      <w:br/>
    </w:r>
    <w:hyperlink r:id="rId3" w:history="1">
      <w:r w:rsidR="00F63A03" w:rsidRPr="00FB77EB">
        <w:rPr>
          <w:rStyle w:val="Hyperlink"/>
          <w:rFonts w:ascii="DM Sans 14pt" w:hAnsi="DM Sans 14pt" w:cs="Helvetica"/>
          <w:color w:val="C00000"/>
          <w:sz w:val="18"/>
          <w:szCs w:val="18"/>
        </w:rPr>
        <w:t>uoguelph.ca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D6EF7" w14:textId="77777777" w:rsidR="003F384B" w:rsidRDefault="003F384B" w:rsidP="000D2F8B">
      <w:r>
        <w:separator/>
      </w:r>
    </w:p>
  </w:footnote>
  <w:footnote w:type="continuationSeparator" w:id="0">
    <w:p w14:paraId="14928A74" w14:textId="77777777" w:rsidR="003F384B" w:rsidRDefault="003F384B" w:rsidP="000D2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B147" w14:textId="43550DF5" w:rsidR="000E7EDB" w:rsidRDefault="000A3B16">
    <w:pPr>
      <w:pStyle w:val="Header"/>
    </w:pPr>
    <w:r>
      <w:rPr>
        <w:noProof/>
      </w:rPr>
      <w:drawing>
        <wp:inline distT="0" distB="0" distL="0" distR="0" wp14:anchorId="31053F21" wp14:editId="41946060">
          <wp:extent cx="2273370" cy="460503"/>
          <wp:effectExtent l="0" t="0" r="0" b="0"/>
          <wp:docPr id="4176169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69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42983" cy="494861"/>
                  </a:xfrm>
                  <a:prstGeom prst="rect">
                    <a:avLst/>
                  </a:prstGeom>
                </pic:spPr>
              </pic:pic>
            </a:graphicData>
          </a:graphic>
        </wp:inline>
      </w:drawing>
    </w:r>
  </w:p>
  <w:p w14:paraId="55812EF6" w14:textId="77777777" w:rsidR="006F5B31" w:rsidRDefault="006F5B31">
    <w:pPr>
      <w:pStyle w:val="Header"/>
    </w:pPr>
  </w:p>
  <w:p w14:paraId="3A697A7F" w14:textId="77777777" w:rsidR="004A5DD5" w:rsidRDefault="004A5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8136" w14:textId="7FE63C28" w:rsidR="00F63A03" w:rsidRDefault="00CD538A">
    <w:pPr>
      <w:pStyle w:val="Header"/>
    </w:pPr>
    <w:r>
      <w:rPr>
        <w:noProof/>
      </w:rPr>
      <w:drawing>
        <wp:inline distT="0" distB="0" distL="0" distR="0" wp14:anchorId="399CD93F" wp14:editId="2FE43130">
          <wp:extent cx="4337257" cy="693683"/>
          <wp:effectExtent l="0" t="0" r="6350" b="0"/>
          <wp:docPr id="312847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712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492860" cy="718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86FCF"/>
    <w:multiLevelType w:val="hybridMultilevel"/>
    <w:tmpl w:val="685C1266"/>
    <w:lvl w:ilvl="0" w:tplc="1536051C">
      <w:start w:val="1"/>
      <w:numFmt w:val="decimal"/>
      <w:lvlText w:val="%1."/>
      <w:lvlJc w:val="left"/>
      <w:pPr>
        <w:ind w:left="360" w:hanging="360"/>
      </w:pPr>
      <w:rPr>
        <w:rFonts w:ascii="Bierstadt" w:hAnsi="Bierstadt"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75D128B0"/>
    <w:multiLevelType w:val="hybridMultilevel"/>
    <w:tmpl w:val="67FA617C"/>
    <w:lvl w:ilvl="0" w:tplc="4F4ECC7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053207">
    <w:abstractNumId w:val="1"/>
  </w:num>
  <w:num w:numId="2" w16cid:durableId="1600916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55"/>
    <w:rsid w:val="00021D3E"/>
    <w:rsid w:val="00031295"/>
    <w:rsid w:val="00034DFB"/>
    <w:rsid w:val="00044D05"/>
    <w:rsid w:val="000A206D"/>
    <w:rsid w:val="000A3B16"/>
    <w:rsid w:val="000C6CF3"/>
    <w:rsid w:val="000C7A98"/>
    <w:rsid w:val="000D2F8B"/>
    <w:rsid w:val="000E7EDB"/>
    <w:rsid w:val="0011357A"/>
    <w:rsid w:val="0012490F"/>
    <w:rsid w:val="00137483"/>
    <w:rsid w:val="001530AA"/>
    <w:rsid w:val="00173779"/>
    <w:rsid w:val="0019683D"/>
    <w:rsid w:val="001A11B1"/>
    <w:rsid w:val="001A2801"/>
    <w:rsid w:val="001E0A73"/>
    <w:rsid w:val="001E70D6"/>
    <w:rsid w:val="00204484"/>
    <w:rsid w:val="00221B59"/>
    <w:rsid w:val="00282AD1"/>
    <w:rsid w:val="00312F17"/>
    <w:rsid w:val="0036758A"/>
    <w:rsid w:val="00386CA2"/>
    <w:rsid w:val="0039362D"/>
    <w:rsid w:val="003B3067"/>
    <w:rsid w:val="003C3588"/>
    <w:rsid w:val="003D1C9A"/>
    <w:rsid w:val="003F384B"/>
    <w:rsid w:val="00441BF5"/>
    <w:rsid w:val="00464E39"/>
    <w:rsid w:val="00473739"/>
    <w:rsid w:val="004976EB"/>
    <w:rsid w:val="004A5DD5"/>
    <w:rsid w:val="004B4080"/>
    <w:rsid w:val="004E60DC"/>
    <w:rsid w:val="00510CE8"/>
    <w:rsid w:val="00563369"/>
    <w:rsid w:val="005B3EF7"/>
    <w:rsid w:val="005B526E"/>
    <w:rsid w:val="005B7C42"/>
    <w:rsid w:val="005C1179"/>
    <w:rsid w:val="005E0279"/>
    <w:rsid w:val="005E2E5A"/>
    <w:rsid w:val="00606E61"/>
    <w:rsid w:val="0062772F"/>
    <w:rsid w:val="0066020E"/>
    <w:rsid w:val="006962DF"/>
    <w:rsid w:val="006F5B31"/>
    <w:rsid w:val="00702C5F"/>
    <w:rsid w:val="007125C9"/>
    <w:rsid w:val="0071330E"/>
    <w:rsid w:val="00740D41"/>
    <w:rsid w:val="007A0DAA"/>
    <w:rsid w:val="007A6C7B"/>
    <w:rsid w:val="007C2423"/>
    <w:rsid w:val="007D3947"/>
    <w:rsid w:val="007E189E"/>
    <w:rsid w:val="0083548E"/>
    <w:rsid w:val="00874E10"/>
    <w:rsid w:val="0087617E"/>
    <w:rsid w:val="008A28E0"/>
    <w:rsid w:val="008B3925"/>
    <w:rsid w:val="008D07D1"/>
    <w:rsid w:val="008F2D0F"/>
    <w:rsid w:val="00902406"/>
    <w:rsid w:val="00915AD9"/>
    <w:rsid w:val="00924D37"/>
    <w:rsid w:val="009370DA"/>
    <w:rsid w:val="00964BA2"/>
    <w:rsid w:val="0099687F"/>
    <w:rsid w:val="00996AE5"/>
    <w:rsid w:val="00A05E42"/>
    <w:rsid w:val="00A97A38"/>
    <w:rsid w:val="00AB617B"/>
    <w:rsid w:val="00AE49A1"/>
    <w:rsid w:val="00B2651E"/>
    <w:rsid w:val="00B310DC"/>
    <w:rsid w:val="00B54242"/>
    <w:rsid w:val="00B82541"/>
    <w:rsid w:val="00B84CB7"/>
    <w:rsid w:val="00B90BAC"/>
    <w:rsid w:val="00B93B61"/>
    <w:rsid w:val="00B96825"/>
    <w:rsid w:val="00BC175D"/>
    <w:rsid w:val="00BD4818"/>
    <w:rsid w:val="00C239E1"/>
    <w:rsid w:val="00C51931"/>
    <w:rsid w:val="00C90055"/>
    <w:rsid w:val="00CA5103"/>
    <w:rsid w:val="00CB1A40"/>
    <w:rsid w:val="00CD538A"/>
    <w:rsid w:val="00CE0CBC"/>
    <w:rsid w:val="00D167A6"/>
    <w:rsid w:val="00D30734"/>
    <w:rsid w:val="00D44430"/>
    <w:rsid w:val="00D65857"/>
    <w:rsid w:val="00D832AE"/>
    <w:rsid w:val="00D86987"/>
    <w:rsid w:val="00DC6D4E"/>
    <w:rsid w:val="00DD698F"/>
    <w:rsid w:val="00DE000A"/>
    <w:rsid w:val="00DE14E7"/>
    <w:rsid w:val="00DF3A77"/>
    <w:rsid w:val="00E01D74"/>
    <w:rsid w:val="00E24BDB"/>
    <w:rsid w:val="00E341FA"/>
    <w:rsid w:val="00E37DDD"/>
    <w:rsid w:val="00E52AC7"/>
    <w:rsid w:val="00E66ABC"/>
    <w:rsid w:val="00E74F4D"/>
    <w:rsid w:val="00E8253B"/>
    <w:rsid w:val="00E82F5C"/>
    <w:rsid w:val="00E83B55"/>
    <w:rsid w:val="00EA757B"/>
    <w:rsid w:val="00F175F8"/>
    <w:rsid w:val="00F214FE"/>
    <w:rsid w:val="00F37AC5"/>
    <w:rsid w:val="00F52FEA"/>
    <w:rsid w:val="00F61898"/>
    <w:rsid w:val="00F63A03"/>
    <w:rsid w:val="00FB77EB"/>
    <w:rsid w:val="00FE02D0"/>
    <w:rsid w:val="00FF148C"/>
    <w:rsid w:val="02A34669"/>
    <w:rsid w:val="02B481D3"/>
    <w:rsid w:val="038894E5"/>
    <w:rsid w:val="03EB33BA"/>
    <w:rsid w:val="0C16A774"/>
    <w:rsid w:val="0D9EDC44"/>
    <w:rsid w:val="1102F213"/>
    <w:rsid w:val="12C763AA"/>
    <w:rsid w:val="15877CA5"/>
    <w:rsid w:val="190D4060"/>
    <w:rsid w:val="1BF8AC4D"/>
    <w:rsid w:val="1CF8B7C0"/>
    <w:rsid w:val="1D860990"/>
    <w:rsid w:val="1E3E8698"/>
    <w:rsid w:val="21F8D990"/>
    <w:rsid w:val="241944E5"/>
    <w:rsid w:val="2784285A"/>
    <w:rsid w:val="2867A040"/>
    <w:rsid w:val="29A3DB09"/>
    <w:rsid w:val="2CF853DD"/>
    <w:rsid w:val="2DA8D1CD"/>
    <w:rsid w:val="2E7B950A"/>
    <w:rsid w:val="2E87D0AB"/>
    <w:rsid w:val="2F7D923B"/>
    <w:rsid w:val="30BBE4EC"/>
    <w:rsid w:val="31193E9B"/>
    <w:rsid w:val="32C98D93"/>
    <w:rsid w:val="330B2248"/>
    <w:rsid w:val="33662AC4"/>
    <w:rsid w:val="35D4FBD7"/>
    <w:rsid w:val="37233CB5"/>
    <w:rsid w:val="387768A5"/>
    <w:rsid w:val="390CC1C8"/>
    <w:rsid w:val="3B1A9F9A"/>
    <w:rsid w:val="3BAE2FDA"/>
    <w:rsid w:val="3D20C01D"/>
    <w:rsid w:val="3DDB2A66"/>
    <w:rsid w:val="400F16D1"/>
    <w:rsid w:val="41E44F99"/>
    <w:rsid w:val="42EB47E1"/>
    <w:rsid w:val="45F080CF"/>
    <w:rsid w:val="4CCE4002"/>
    <w:rsid w:val="4CD11D48"/>
    <w:rsid w:val="4E302566"/>
    <w:rsid w:val="4F791093"/>
    <w:rsid w:val="52608D65"/>
    <w:rsid w:val="52F044E7"/>
    <w:rsid w:val="55AA7CD6"/>
    <w:rsid w:val="55BBC772"/>
    <w:rsid w:val="57E530E6"/>
    <w:rsid w:val="58C8BAFC"/>
    <w:rsid w:val="5934F9B1"/>
    <w:rsid w:val="5947BA39"/>
    <w:rsid w:val="5A673780"/>
    <w:rsid w:val="5D6D24C7"/>
    <w:rsid w:val="60C87B24"/>
    <w:rsid w:val="6BBD6BF9"/>
    <w:rsid w:val="6D4EEE72"/>
    <w:rsid w:val="71613271"/>
    <w:rsid w:val="72092C2B"/>
    <w:rsid w:val="7DD3CB47"/>
    <w:rsid w:val="7DEBFAE8"/>
    <w:rsid w:val="7EF1020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DE41"/>
  <w15:chartTrackingRefBased/>
  <w15:docId w15:val="{3919EF28-3294-CA4B-B596-FDFDE612A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CB1A40"/>
    <w:pPr>
      <w:outlineLvl w:val="0"/>
    </w:pPr>
    <w:rPr>
      <w:rFonts w:ascii="Bitter" w:hAnsi="Bitter"/>
    </w:rPr>
  </w:style>
  <w:style w:type="paragraph" w:styleId="Heading2">
    <w:name w:val="heading 2"/>
    <w:basedOn w:val="Normal"/>
    <w:next w:val="Normal"/>
    <w:link w:val="Heading2Char"/>
    <w:uiPriority w:val="9"/>
    <w:unhideWhenUsed/>
    <w:qFormat/>
    <w:rsid w:val="00CB1A40"/>
    <w:pPr>
      <w:keepNext/>
      <w:keepLines/>
      <w:spacing w:before="160" w:after="80"/>
      <w:outlineLvl w:val="1"/>
    </w:pPr>
    <w:rPr>
      <w:rFonts w:ascii="Bitter" w:eastAsiaTheme="majorEastAsia" w:hAnsi="Bitter" w:cstheme="majorBidi"/>
      <w:color w:val="1F3864" w:themeColor="accent1" w:themeShade="80"/>
      <w:sz w:val="36"/>
      <w:szCs w:val="26"/>
    </w:rPr>
  </w:style>
  <w:style w:type="paragraph" w:styleId="Heading3">
    <w:name w:val="heading 3"/>
    <w:basedOn w:val="Normal"/>
    <w:next w:val="Normal"/>
    <w:link w:val="Heading3Char"/>
    <w:uiPriority w:val="9"/>
    <w:unhideWhenUsed/>
    <w:qFormat/>
    <w:rsid w:val="00CB1A40"/>
    <w:pPr>
      <w:keepNext/>
      <w:keepLines/>
      <w:spacing w:before="160" w:after="80"/>
      <w:outlineLvl w:val="2"/>
    </w:pPr>
    <w:rPr>
      <w:rFonts w:ascii="Bitter" w:eastAsiaTheme="majorEastAsia" w:hAnsi="Bitter" w:cstheme="majorBidi"/>
      <w:color w:val="1F3763" w:themeColor="accent1" w:themeShade="7F"/>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8B"/>
    <w:pPr>
      <w:tabs>
        <w:tab w:val="center" w:pos="4680"/>
        <w:tab w:val="right" w:pos="9360"/>
      </w:tabs>
    </w:pPr>
  </w:style>
  <w:style w:type="character" w:customStyle="1" w:styleId="HeaderChar">
    <w:name w:val="Header Char"/>
    <w:basedOn w:val="DefaultParagraphFont"/>
    <w:link w:val="Header"/>
    <w:uiPriority w:val="99"/>
    <w:rsid w:val="000D2F8B"/>
  </w:style>
  <w:style w:type="paragraph" w:styleId="Footer">
    <w:name w:val="footer"/>
    <w:basedOn w:val="Normal"/>
    <w:link w:val="FooterChar"/>
    <w:uiPriority w:val="99"/>
    <w:unhideWhenUsed/>
    <w:rsid w:val="000D2F8B"/>
    <w:pPr>
      <w:tabs>
        <w:tab w:val="center" w:pos="4680"/>
        <w:tab w:val="right" w:pos="9360"/>
      </w:tabs>
    </w:pPr>
  </w:style>
  <w:style w:type="character" w:customStyle="1" w:styleId="FooterChar">
    <w:name w:val="Footer Char"/>
    <w:basedOn w:val="DefaultParagraphFont"/>
    <w:link w:val="Footer"/>
    <w:uiPriority w:val="99"/>
    <w:rsid w:val="000D2F8B"/>
  </w:style>
  <w:style w:type="character" w:styleId="PageNumber">
    <w:name w:val="page number"/>
    <w:basedOn w:val="DefaultParagraphFont"/>
    <w:uiPriority w:val="99"/>
    <w:semiHidden/>
    <w:unhideWhenUsed/>
    <w:rsid w:val="000D2F8B"/>
  </w:style>
  <w:style w:type="character" w:customStyle="1" w:styleId="Heading1Char">
    <w:name w:val="Heading 1 Char"/>
    <w:basedOn w:val="DefaultParagraphFont"/>
    <w:link w:val="Heading1"/>
    <w:uiPriority w:val="9"/>
    <w:rsid w:val="00CB1A40"/>
    <w:rPr>
      <w:rFonts w:ascii="Bitter" w:eastAsiaTheme="majorEastAsia" w:hAnsi="Bitter" w:cstheme="majorBidi"/>
      <w:spacing w:val="-10"/>
      <w:kern w:val="28"/>
      <w:sz w:val="56"/>
      <w:szCs w:val="56"/>
    </w:rPr>
  </w:style>
  <w:style w:type="paragraph" w:styleId="TOCHeading">
    <w:name w:val="TOC Heading"/>
    <w:basedOn w:val="Heading1"/>
    <w:next w:val="Normal"/>
    <w:uiPriority w:val="39"/>
    <w:unhideWhenUsed/>
    <w:qFormat/>
    <w:rsid w:val="000E7EDB"/>
    <w:pPr>
      <w:spacing w:before="48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0E7EDB"/>
    <w:pPr>
      <w:spacing w:before="120"/>
      <w:ind w:left="240"/>
    </w:pPr>
    <w:rPr>
      <w:rFonts w:cstheme="minorHAnsi"/>
      <w:b/>
      <w:bCs/>
      <w:sz w:val="22"/>
      <w:szCs w:val="22"/>
    </w:rPr>
  </w:style>
  <w:style w:type="paragraph" w:styleId="TOC1">
    <w:name w:val="toc 1"/>
    <w:basedOn w:val="Normal"/>
    <w:next w:val="Normal"/>
    <w:autoRedefine/>
    <w:uiPriority w:val="39"/>
    <w:unhideWhenUsed/>
    <w:rsid w:val="000E7EDB"/>
    <w:pPr>
      <w:spacing w:before="120"/>
    </w:pPr>
    <w:rPr>
      <w:rFonts w:cstheme="minorHAnsi"/>
      <w:b/>
      <w:bCs/>
      <w:i/>
      <w:iCs/>
    </w:rPr>
  </w:style>
  <w:style w:type="paragraph" w:styleId="TOC3">
    <w:name w:val="toc 3"/>
    <w:basedOn w:val="Normal"/>
    <w:next w:val="Normal"/>
    <w:autoRedefine/>
    <w:uiPriority w:val="39"/>
    <w:unhideWhenUsed/>
    <w:rsid w:val="000E7EDB"/>
    <w:pPr>
      <w:ind w:left="480"/>
    </w:pPr>
    <w:rPr>
      <w:rFonts w:cstheme="minorHAnsi"/>
      <w:sz w:val="20"/>
      <w:szCs w:val="20"/>
    </w:rPr>
  </w:style>
  <w:style w:type="paragraph" w:styleId="TOC4">
    <w:name w:val="toc 4"/>
    <w:basedOn w:val="Normal"/>
    <w:next w:val="Normal"/>
    <w:autoRedefine/>
    <w:uiPriority w:val="39"/>
    <w:semiHidden/>
    <w:unhideWhenUsed/>
    <w:rsid w:val="000E7EDB"/>
    <w:pPr>
      <w:ind w:left="720"/>
    </w:pPr>
    <w:rPr>
      <w:rFonts w:cstheme="minorHAnsi"/>
      <w:sz w:val="20"/>
      <w:szCs w:val="20"/>
    </w:rPr>
  </w:style>
  <w:style w:type="paragraph" w:styleId="TOC5">
    <w:name w:val="toc 5"/>
    <w:basedOn w:val="Normal"/>
    <w:next w:val="Normal"/>
    <w:autoRedefine/>
    <w:uiPriority w:val="39"/>
    <w:semiHidden/>
    <w:unhideWhenUsed/>
    <w:rsid w:val="000E7EDB"/>
    <w:pPr>
      <w:ind w:left="960"/>
    </w:pPr>
    <w:rPr>
      <w:rFonts w:cstheme="minorHAnsi"/>
      <w:sz w:val="20"/>
      <w:szCs w:val="20"/>
    </w:rPr>
  </w:style>
  <w:style w:type="paragraph" w:styleId="TOC6">
    <w:name w:val="toc 6"/>
    <w:basedOn w:val="Normal"/>
    <w:next w:val="Normal"/>
    <w:autoRedefine/>
    <w:uiPriority w:val="39"/>
    <w:semiHidden/>
    <w:unhideWhenUsed/>
    <w:rsid w:val="000E7EDB"/>
    <w:pPr>
      <w:ind w:left="1200"/>
    </w:pPr>
    <w:rPr>
      <w:rFonts w:cstheme="minorHAnsi"/>
      <w:sz w:val="20"/>
      <w:szCs w:val="20"/>
    </w:rPr>
  </w:style>
  <w:style w:type="paragraph" w:styleId="TOC7">
    <w:name w:val="toc 7"/>
    <w:basedOn w:val="Normal"/>
    <w:next w:val="Normal"/>
    <w:autoRedefine/>
    <w:uiPriority w:val="39"/>
    <w:semiHidden/>
    <w:unhideWhenUsed/>
    <w:rsid w:val="000E7EDB"/>
    <w:pPr>
      <w:ind w:left="1440"/>
    </w:pPr>
    <w:rPr>
      <w:rFonts w:cstheme="minorHAnsi"/>
      <w:sz w:val="20"/>
      <w:szCs w:val="20"/>
    </w:rPr>
  </w:style>
  <w:style w:type="paragraph" w:styleId="TOC8">
    <w:name w:val="toc 8"/>
    <w:basedOn w:val="Normal"/>
    <w:next w:val="Normal"/>
    <w:autoRedefine/>
    <w:uiPriority w:val="39"/>
    <w:semiHidden/>
    <w:unhideWhenUsed/>
    <w:rsid w:val="000E7EDB"/>
    <w:pPr>
      <w:ind w:left="1680"/>
    </w:pPr>
    <w:rPr>
      <w:rFonts w:cstheme="minorHAnsi"/>
      <w:sz w:val="20"/>
      <w:szCs w:val="20"/>
    </w:rPr>
  </w:style>
  <w:style w:type="paragraph" w:styleId="TOC9">
    <w:name w:val="toc 9"/>
    <w:basedOn w:val="Normal"/>
    <w:next w:val="Normal"/>
    <w:autoRedefine/>
    <w:uiPriority w:val="39"/>
    <w:semiHidden/>
    <w:unhideWhenUsed/>
    <w:rsid w:val="000E7EDB"/>
    <w:pPr>
      <w:ind w:left="1920"/>
    </w:pPr>
    <w:rPr>
      <w:rFonts w:cstheme="minorHAnsi"/>
      <w:sz w:val="20"/>
      <w:szCs w:val="20"/>
    </w:rPr>
  </w:style>
  <w:style w:type="character" w:styleId="Hyperlink">
    <w:name w:val="Hyperlink"/>
    <w:basedOn w:val="DefaultParagraphFont"/>
    <w:uiPriority w:val="99"/>
    <w:unhideWhenUsed/>
    <w:rsid w:val="00441BF5"/>
    <w:rPr>
      <w:color w:val="0563C1" w:themeColor="hyperlink"/>
      <w:u w:val="single"/>
    </w:rPr>
  </w:style>
  <w:style w:type="paragraph" w:styleId="ListParagraph">
    <w:name w:val="List Paragraph"/>
    <w:basedOn w:val="Normal"/>
    <w:link w:val="ListParagraphChar"/>
    <w:uiPriority w:val="34"/>
    <w:qFormat/>
    <w:rsid w:val="004A5DD5"/>
    <w:pPr>
      <w:ind w:left="720"/>
      <w:contextualSpacing/>
    </w:pPr>
  </w:style>
  <w:style w:type="character" w:customStyle="1" w:styleId="ListParagraphChar">
    <w:name w:val="List Paragraph Char"/>
    <w:basedOn w:val="DefaultParagraphFont"/>
    <w:link w:val="ListParagraph"/>
    <w:uiPriority w:val="34"/>
    <w:rsid w:val="006F5B31"/>
  </w:style>
  <w:style w:type="table" w:styleId="GridTable4-Accent4">
    <w:name w:val="Grid Table 4 Accent 4"/>
    <w:basedOn w:val="TableNormal"/>
    <w:uiPriority w:val="49"/>
    <w:rsid w:val="00A97A3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A97A3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97A3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97A38"/>
    <w:rPr>
      <w:rFonts w:ascii="Helvetica" w:hAnsi="Helvetica"/>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vAlign w:val="center"/>
    </w:tcPr>
    <w:tblStylePr w:type="firstRow">
      <w:rPr>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pPr>
        <w:jc w:val="left"/>
      </w:pPr>
      <w:rPr>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Body">
    <w:name w:val="Body"/>
    <w:basedOn w:val="Normal"/>
    <w:qFormat/>
    <w:rsid w:val="00031295"/>
    <w:pPr>
      <w:ind w:right="4"/>
    </w:pPr>
    <w:rPr>
      <w:rFonts w:ascii="DM Sans 14pt" w:hAnsi="DM Sans 14pt"/>
      <w:color w:val="000000" w:themeColor="text1"/>
      <w:sz w:val="22"/>
      <w:szCs w:val="22"/>
      <w:lang w:val="en-US"/>
    </w:rPr>
  </w:style>
  <w:style w:type="paragraph" w:customStyle="1" w:styleId="SalutationSignature">
    <w:name w:val="Salutation/Signature"/>
    <w:basedOn w:val="Normal"/>
    <w:qFormat/>
    <w:rsid w:val="00031295"/>
    <w:rPr>
      <w:rFonts w:ascii="Bitter" w:hAnsi="Bitter"/>
      <w:b/>
      <w:bCs/>
    </w:rPr>
  </w:style>
  <w:style w:type="character" w:styleId="UnresolvedMention">
    <w:name w:val="Unresolved Mention"/>
    <w:basedOn w:val="DefaultParagraphFont"/>
    <w:uiPriority w:val="99"/>
    <w:semiHidden/>
    <w:unhideWhenUsed/>
    <w:rsid w:val="000A3B16"/>
    <w:rPr>
      <w:color w:val="605E5C"/>
      <w:shd w:val="clear" w:color="auto" w:fill="E1DFDD"/>
    </w:rPr>
  </w:style>
  <w:style w:type="character" w:customStyle="1" w:styleId="Heading2Char">
    <w:name w:val="Heading 2 Char"/>
    <w:basedOn w:val="DefaultParagraphFont"/>
    <w:link w:val="Heading2"/>
    <w:uiPriority w:val="9"/>
    <w:rsid w:val="00CB1A40"/>
    <w:rPr>
      <w:rFonts w:ascii="Bitter" w:eastAsiaTheme="majorEastAsia" w:hAnsi="Bitter" w:cstheme="majorBidi"/>
      <w:color w:val="1F3864" w:themeColor="accent1" w:themeShade="80"/>
      <w:sz w:val="36"/>
      <w:szCs w:val="26"/>
    </w:rPr>
  </w:style>
  <w:style w:type="paragraph" w:styleId="Title">
    <w:name w:val="Title"/>
    <w:basedOn w:val="Normal"/>
    <w:next w:val="Normal"/>
    <w:link w:val="TitleChar"/>
    <w:uiPriority w:val="10"/>
    <w:qFormat/>
    <w:rsid w:val="007C24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23"/>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D832AE"/>
    <w:rPr>
      <w:rFonts w:cs="Arial (Body)"/>
      <w:kern w:val="0"/>
      <w:sz w:val="22"/>
      <w:szCs w:val="20"/>
      <w:lang w:val="en-US"/>
      <w14:ligatures w14:val="none"/>
    </w:rPr>
  </w:style>
  <w:style w:type="character" w:customStyle="1" w:styleId="CommentTextChar">
    <w:name w:val="Comment Text Char"/>
    <w:basedOn w:val="DefaultParagraphFont"/>
    <w:link w:val="CommentText"/>
    <w:uiPriority w:val="99"/>
    <w:rsid w:val="00D832AE"/>
    <w:rPr>
      <w:rFonts w:cs="Arial (Body)"/>
      <w:kern w:val="0"/>
      <w:sz w:val="22"/>
      <w:szCs w:val="20"/>
      <w:lang w:val="en-US"/>
      <w14:ligatures w14:val="none"/>
    </w:rPr>
  </w:style>
  <w:style w:type="character" w:customStyle="1" w:styleId="Heading3Char">
    <w:name w:val="Heading 3 Char"/>
    <w:basedOn w:val="DefaultParagraphFont"/>
    <w:link w:val="Heading3"/>
    <w:uiPriority w:val="9"/>
    <w:rsid w:val="00CB1A40"/>
    <w:rPr>
      <w:rFonts w:ascii="Bitter" w:eastAsiaTheme="majorEastAsia" w:hAnsi="Bitter" w:cstheme="majorBidi"/>
      <w:color w:val="1F3763" w:themeColor="accent1" w:themeShade="7F"/>
      <w:sz w:val="32"/>
    </w:rPr>
  </w:style>
  <w:style w:type="paragraph" w:customStyle="1" w:styleId="paragraph">
    <w:name w:val="paragraph"/>
    <w:basedOn w:val="Normal"/>
    <w:rsid w:val="00E8253B"/>
    <w:pPr>
      <w:spacing w:before="100" w:beforeAutospacing="1" w:after="100" w:afterAutospacing="1"/>
    </w:pPr>
    <w:rPr>
      <w:rFonts w:ascii="Times" w:hAnsi="Times" w:cs="Arial (Body)"/>
      <w:kern w:val="0"/>
      <w:sz w:val="22"/>
      <w:szCs w:val="20"/>
      <w14:ligatures w14:val="none"/>
    </w:rPr>
  </w:style>
  <w:style w:type="character" w:customStyle="1" w:styleId="eop">
    <w:name w:val="eop"/>
    <w:basedOn w:val="DefaultParagraphFont"/>
    <w:rsid w:val="00E8253B"/>
  </w:style>
  <w:style w:type="paragraph" w:styleId="NoSpacing">
    <w:name w:val="No Spacing"/>
    <w:basedOn w:val="Normal"/>
    <w:uiPriority w:val="1"/>
    <w:qFormat/>
    <w:rsid w:val="00E8253B"/>
    <w:rPr>
      <w:rFonts w:cs="Arial (Body)"/>
      <w:kern w:val="0"/>
      <w:sz w:val="22"/>
      <w:szCs w:val="22"/>
      <w:lang w:val="en-US"/>
      <w14:ligatures w14:val="non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https://www.lib.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donate@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8099f30-c1b6-440a-9b0f-b3c51ae9d92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927B37024A9542A7A0557041E79098" ma:contentTypeVersion="18" ma:contentTypeDescription="Create a new document." ma:contentTypeScope="" ma:versionID="84571566cdde834d483a3ec6fc6fbf16">
  <xsd:schema xmlns:xsd="http://www.w3.org/2001/XMLSchema" xmlns:xs="http://www.w3.org/2001/XMLSchema" xmlns:p="http://schemas.microsoft.com/office/2006/metadata/properties" xmlns:ns3="a8099f30-c1b6-440a-9b0f-b3c51ae9d925" xmlns:ns4="a239740e-c12e-48ea-9598-5ec9ef64aab0" targetNamespace="http://schemas.microsoft.com/office/2006/metadata/properties" ma:root="true" ma:fieldsID="58329794defa7ececf6473570cf15e64" ns3:_="" ns4:_="">
    <xsd:import namespace="a8099f30-c1b6-440a-9b0f-b3c51ae9d925"/>
    <xsd:import namespace="a239740e-c12e-48ea-9598-5ec9ef64aa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99f30-c1b6-440a-9b0f-b3c51ae9d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9740e-c12e-48ea-9598-5ec9ef64aa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DDF9F-CBFD-47F6-90BB-E6BE31F4DA6A}">
  <ds:schemaRefs>
    <ds:schemaRef ds:uri="http://schemas.microsoft.com/office/2006/metadata/properties"/>
    <ds:schemaRef ds:uri="http://schemas.microsoft.com/office/infopath/2007/PartnerControls"/>
    <ds:schemaRef ds:uri="a8099f30-c1b6-440a-9b0f-b3c51ae9d925"/>
  </ds:schemaRefs>
</ds:datastoreItem>
</file>

<file path=customXml/itemProps2.xml><?xml version="1.0" encoding="utf-8"?>
<ds:datastoreItem xmlns:ds="http://schemas.openxmlformats.org/officeDocument/2006/customXml" ds:itemID="{3F52B0DA-B14F-004D-84ED-EC46A2C3C7EC}">
  <ds:schemaRefs>
    <ds:schemaRef ds:uri="http://schemas.openxmlformats.org/officeDocument/2006/bibliography"/>
  </ds:schemaRefs>
</ds:datastoreItem>
</file>

<file path=customXml/itemProps3.xml><?xml version="1.0" encoding="utf-8"?>
<ds:datastoreItem xmlns:ds="http://schemas.openxmlformats.org/officeDocument/2006/customXml" ds:itemID="{D4929DD8-3AA9-4B0B-B675-541306D725A1}">
  <ds:schemaRefs>
    <ds:schemaRef ds:uri="http://schemas.microsoft.com/sharepoint/v3/contenttype/forms"/>
  </ds:schemaRefs>
</ds:datastoreItem>
</file>

<file path=customXml/itemProps4.xml><?xml version="1.0" encoding="utf-8"?>
<ds:datastoreItem xmlns:ds="http://schemas.openxmlformats.org/officeDocument/2006/customXml" ds:itemID="{B365C05B-17F2-46CE-978A-45498869B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99f30-c1b6-440a-9b0f-b3c51ae9d925"/>
    <ds:schemaRef ds:uri="a239740e-c12e-48ea-9598-5ec9ef64a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2</TotalTime>
  <Pages>5</Pages>
  <Words>1756</Words>
  <Characters>9800</Characters>
  <Application>Microsoft Office Word</Application>
  <DocSecurity>0</DocSecurity>
  <Lines>251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Cyclical Program Review Library Report for Population Medicine</dc:title>
  <dc:subject/>
  <dc:creator>Ethan Bersche</dc:creator>
  <cp:keywords/>
  <dc:description/>
  <cp:lastModifiedBy>Ryan Moore</cp:lastModifiedBy>
  <cp:revision>3</cp:revision>
  <dcterms:created xsi:type="dcterms:W3CDTF">2026-02-06T20:34:00Z</dcterms:created>
  <dcterms:modified xsi:type="dcterms:W3CDTF">2026-02-06T20:35:00Z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0x010100D5927B37024A9542A7A0557041E79098</vt:lpwstr>
  </property>
  <property fmtid="{D5CDD505-2E9C-101B-9397-08002B2CF9AE}" pid="3" name="MediaServiceImageTags">
    <vt:lpwstr/>
  </property>
</Properties>
</file>