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3D467" w14:textId="4F3B10F3" w:rsidR="0036758A" w:rsidRPr="00DE6F92" w:rsidRDefault="007C2423" w:rsidP="00DE6F92">
      <w:pPr>
        <w:pStyle w:val="Heading1"/>
      </w:pPr>
      <w:r w:rsidRPr="00DE6F92">
        <w:t xml:space="preserve">Cyclical Program Review Library Report for </w:t>
      </w:r>
      <w:r w:rsidR="00FE02D0" w:rsidRPr="00DE6F92">
        <w:t>Ma</w:t>
      </w:r>
      <w:r w:rsidR="007125C9" w:rsidRPr="00DE6F92">
        <w:t>ster of Business Administration</w:t>
      </w:r>
    </w:p>
    <w:p w14:paraId="40E5EB84" w14:textId="02A5CF8B" w:rsidR="00B310DC" w:rsidRPr="00B310DC" w:rsidRDefault="01EDA3FE" w:rsidP="00DE6F92">
      <w:pPr>
        <w:pStyle w:val="Body"/>
        <w:spacing w:before="240"/>
      </w:pPr>
      <w:r>
        <w:t>July 8, 2025</w:t>
      </w:r>
    </w:p>
    <w:p w14:paraId="6CDA225E" w14:textId="53C8AE59" w:rsidR="00B310DC" w:rsidRDefault="00B310DC" w:rsidP="00DE6F92">
      <w:pPr>
        <w:pStyle w:val="Body"/>
        <w:spacing w:before="240"/>
      </w:pPr>
      <w:r w:rsidRPr="4461F79F">
        <w:rPr>
          <w:lang w:val="en-CA"/>
        </w:rPr>
        <w:t xml:space="preserve">Prepared by: </w:t>
      </w:r>
    </w:p>
    <w:p w14:paraId="4A4726AD" w14:textId="38B1230E" w:rsidR="00B310DC" w:rsidRDefault="43D11E03" w:rsidP="4461F79F">
      <w:pPr>
        <w:pStyle w:val="Body"/>
        <w:numPr>
          <w:ilvl w:val="0"/>
          <w:numId w:val="1"/>
        </w:numPr>
        <w:rPr>
          <w:lang w:val="en-CA"/>
        </w:rPr>
      </w:pPr>
      <w:r w:rsidRPr="070AEB6A">
        <w:rPr>
          <w:lang w:val="en-CA"/>
        </w:rPr>
        <w:t xml:space="preserve">Ryan Kirkby, </w:t>
      </w:r>
      <w:r w:rsidR="0A7BA5C5" w:rsidRPr="070AEB6A">
        <w:rPr>
          <w:lang w:val="en-CA"/>
        </w:rPr>
        <w:t>C</w:t>
      </w:r>
      <w:r w:rsidRPr="070AEB6A">
        <w:rPr>
          <w:lang w:val="en-CA"/>
        </w:rPr>
        <w:t>ollections</w:t>
      </w:r>
      <w:r w:rsidR="3A333557" w:rsidRPr="070AEB6A">
        <w:rPr>
          <w:lang w:val="en-CA"/>
        </w:rPr>
        <w:t xml:space="preserve"> </w:t>
      </w:r>
      <w:r w:rsidRPr="070AEB6A">
        <w:rPr>
          <w:lang w:val="en-CA"/>
        </w:rPr>
        <w:t>Librarian, Social Sciences &amp; Business</w:t>
      </w:r>
    </w:p>
    <w:p w14:paraId="1769E481" w14:textId="23E95A24" w:rsidR="4E313564" w:rsidRDefault="4E313564" w:rsidP="070AEB6A">
      <w:pPr>
        <w:pStyle w:val="Body"/>
        <w:numPr>
          <w:ilvl w:val="0"/>
          <w:numId w:val="1"/>
        </w:numPr>
        <w:rPr>
          <w:lang w:val="en-CA"/>
        </w:rPr>
      </w:pPr>
      <w:r w:rsidRPr="070AEB6A">
        <w:rPr>
          <w:lang w:val="en-CA"/>
        </w:rPr>
        <w:t>Amber Allen, Learning &amp; curriculum Support Librarian</w:t>
      </w:r>
    </w:p>
    <w:p w14:paraId="0C3DAFED" w14:textId="7B210922" w:rsidR="00B310DC" w:rsidRDefault="4F4229FD" w:rsidP="4461F79F">
      <w:pPr>
        <w:pStyle w:val="Body"/>
        <w:numPr>
          <w:ilvl w:val="0"/>
          <w:numId w:val="1"/>
        </w:numPr>
        <w:rPr>
          <w:lang w:val="en-CA"/>
        </w:rPr>
      </w:pPr>
      <w:r w:rsidRPr="2F01C7FC">
        <w:rPr>
          <w:lang w:val="en-CA"/>
        </w:rPr>
        <w:t>Sarah Gibbons, Writing Specialist</w:t>
      </w:r>
    </w:p>
    <w:p w14:paraId="07060049" w14:textId="45AB2A5C" w:rsidR="4F4229FD" w:rsidRDefault="4F4229FD" w:rsidP="2F01C7FC">
      <w:pPr>
        <w:pStyle w:val="Body"/>
        <w:numPr>
          <w:ilvl w:val="0"/>
          <w:numId w:val="1"/>
        </w:numPr>
        <w:rPr>
          <w:lang w:val="en-CA"/>
        </w:rPr>
      </w:pPr>
      <w:r w:rsidRPr="2F01C7FC">
        <w:rPr>
          <w:lang w:val="en-CA"/>
        </w:rPr>
        <w:t>Ali Versluis, Head, Research &amp; Scholarship</w:t>
      </w:r>
    </w:p>
    <w:p w14:paraId="0AB3A49B" w14:textId="30A086AB" w:rsidR="00B310DC" w:rsidRDefault="00B310DC" w:rsidP="00DE6F92">
      <w:pPr>
        <w:pStyle w:val="Body"/>
        <w:spacing w:before="240"/>
      </w:pPr>
      <w:r w:rsidRPr="66506CC1">
        <w:rPr>
          <w:lang w:val="en-CA"/>
        </w:rPr>
        <w:t>Submitted by Ian Gibson, Interim Associate University Librarian, Research</w:t>
      </w:r>
    </w:p>
    <w:p w14:paraId="46CCFBA0" w14:textId="77777777" w:rsidR="00D832AE" w:rsidRDefault="00D832AE" w:rsidP="00DE6F92">
      <w:pPr>
        <w:pStyle w:val="Heading2"/>
      </w:pPr>
      <w:r>
        <w:t>About the Library</w:t>
      </w:r>
    </w:p>
    <w:p w14:paraId="40DDF3AE" w14:textId="75A011DA" w:rsidR="00D832AE" w:rsidRDefault="00D832AE" w:rsidP="2F01C7FC">
      <w:pPr>
        <w:rPr>
          <w:lang w:val="en-GB"/>
        </w:rPr>
      </w:pPr>
      <w:r w:rsidRPr="2F01C7FC">
        <w:rPr>
          <w:lang w:val="en-GB"/>
        </w:rPr>
        <w:t>The University of Guelph Library is a member of the Canadian Association of Research Libraries, the Association of Research Libraries, the Ontario Council of University Libraries, and the</w:t>
      </w:r>
      <w:r>
        <w:t xml:space="preserve"> </w:t>
      </w:r>
      <w:r w:rsidRPr="2F01C7FC">
        <w:rPr>
          <w:lang w:val="en-GB"/>
        </w:rPr>
        <w:t>Canadian Research Knowledge Network. Our strong local collections are augmented by fast access to materials in the Omni libraries consortium of university libraries across Ontario. We are dedicated advocates of open access for scholarship and teaching.</w:t>
      </w:r>
      <w:r>
        <w:t xml:space="preserve"> </w:t>
      </w:r>
      <w:r w:rsidRPr="2F01C7FC">
        <w:rPr>
          <w:lang w:val="en-GB"/>
        </w:rPr>
        <w:t>The library supports open access through the Atrium, our institutional research repository, open journal services, University of Guelph Open Books Publishing Platform, and provision of open access publications, and support for preservation of research materials in all formats.</w:t>
      </w:r>
    </w:p>
    <w:p w14:paraId="5581DA1C" w14:textId="77777777" w:rsidR="00D832AE" w:rsidRDefault="00D832AE" w:rsidP="00DE6F92">
      <w:pPr>
        <w:spacing w:before="240"/>
        <w:rPr>
          <w:lang w:val="en-GB"/>
        </w:rPr>
      </w:pPr>
      <w:r w:rsidRPr="2F01C7FC">
        <w:rPr>
          <w:lang w:val="en-GB"/>
        </w:rPr>
        <w:t>We support the development of students’ academic and professional skills by offering individual consultations and group workshops in writing, academic integrity, learning (giving presentations, time management, effective studying, group work, exam preparation), data (collection, preparation, analysis, management, and visualization), publishing (copyright, author rights, impact analysis),research (knowledge synthesis, information literacy, reference, archival research), and English as an Additional Language reading, writing, and speaking support. We also offer numerous online guides and videos to supplement our services and provide asynchronous access to helpful tools any time students need them.</w:t>
      </w:r>
    </w:p>
    <w:p w14:paraId="22FA7C14" w14:textId="77777777" w:rsidR="00D832AE" w:rsidRPr="004B522C" w:rsidRDefault="00D832AE" w:rsidP="00DE6F92">
      <w:pPr>
        <w:pStyle w:val="CommentText"/>
        <w:spacing w:before="240"/>
      </w:pPr>
      <w:r w:rsidRPr="2F01C7FC">
        <w:rPr>
          <w:lang w:val="en-GB"/>
        </w:rPr>
        <w:t xml:space="preserve">The library offers spaces for quiet concentration, lively group discussion and meetings of Supported Learning Groups (peer-led study groups held on a weekly basis to help students taking historically challenging courses) </w:t>
      </w:r>
      <w:r>
        <w:lastRenderedPageBreak/>
        <w:t>and the Pearson Family Student-Athlete Mentor Program</w:t>
      </w:r>
      <w:r w:rsidRPr="2F01C7FC">
        <w:rPr>
          <w:lang w:val="en-GB"/>
        </w:rPr>
        <w:t xml:space="preserve">. The library has an accessibility lab, a data resources lab, a digital media studio and hosts space dedicated to student learning in Chemistry, Physics, Mathematics and Statistics. The Archival &amp; Special Collections Reading Room gives all researchers access to its diverse collections in agricultural history and rural heritage, landscape architecture, culinary, theatre, Scottish Studies, early campus history, and L.M. Montgomery. </w:t>
      </w:r>
      <w:r w:rsidRPr="2F01C7FC">
        <w:rPr>
          <w:rFonts w:cstheme="minorBidi"/>
        </w:rPr>
        <w:t xml:space="preserve">THINC Lab (The Humanities Interdisciplinary Collaboration Lab provides space, programming, resources for digital humanities research and teaching. </w:t>
      </w:r>
    </w:p>
    <w:p w14:paraId="2DB6C2BB" w14:textId="77777777" w:rsidR="00D832AE" w:rsidRPr="000C0BA9" w:rsidRDefault="00D832AE" w:rsidP="2F01C7FC">
      <w:r w:rsidRPr="2F01C7FC">
        <w:rPr>
          <w:lang w:val="en-GB"/>
        </w:rPr>
        <w:t>Equity, Diversity and Inclusion (EDI) is a priority for us, reflected in our commitment to diversifying our collections and focusing on a user experience that fosters safety and belonging.</w:t>
      </w:r>
      <w:bookmarkStart w:id="0" w:name="_Toc247277353"/>
    </w:p>
    <w:p w14:paraId="70C05C8F" w14:textId="77777777" w:rsidR="00E8253B" w:rsidRPr="00462764" w:rsidRDefault="00E8253B" w:rsidP="00DE6F92">
      <w:pPr>
        <w:pStyle w:val="Heading2"/>
      </w:pPr>
      <w:bookmarkStart w:id="1" w:name="_Toc247277356"/>
      <w:bookmarkEnd w:id="0"/>
      <w:r>
        <w:t xml:space="preserve">Collections </w:t>
      </w:r>
    </w:p>
    <w:p w14:paraId="1EABCCAB" w14:textId="2754C042" w:rsidR="00E8253B" w:rsidRPr="00E363AB" w:rsidRDefault="00E8253B" w:rsidP="2F01C7FC">
      <w:pPr>
        <w:pStyle w:val="paragraph"/>
        <w:textAlignment w:val="baseline"/>
        <w:rPr>
          <w:rStyle w:val="eop"/>
          <w:rFonts w:ascii="Arial" w:eastAsiaTheme="majorEastAsia" w:hAnsi="Arial" w:cs="Arial"/>
        </w:rPr>
      </w:pPr>
      <w:r w:rsidRPr="2F01C7FC">
        <w:rPr>
          <w:rStyle w:val="eop"/>
          <w:rFonts w:ascii="Arial" w:eastAsiaTheme="majorEastAsia" w:hAnsi="Arial" w:cs="Arial"/>
        </w:rPr>
        <w:t>The library is committed to collecting materials in support o</w:t>
      </w:r>
      <w:r w:rsidR="159616F0" w:rsidRPr="2F01C7FC">
        <w:rPr>
          <w:rStyle w:val="eop"/>
          <w:rFonts w:ascii="Arial" w:eastAsiaTheme="majorEastAsia" w:hAnsi="Arial" w:cs="Arial"/>
        </w:rPr>
        <w:t>f the Gordon S. Lang School of Business and Economics’ Master of Business Administration (MBA) program.</w:t>
      </w:r>
    </w:p>
    <w:p w14:paraId="644B88AD" w14:textId="32FC3133" w:rsidR="00E8253B" w:rsidRDefault="00E8253B" w:rsidP="2F01C7FC">
      <w:pPr>
        <w:pStyle w:val="paragraph"/>
        <w:rPr>
          <w:rStyle w:val="eop"/>
          <w:rFonts w:ascii="Arial" w:eastAsiaTheme="majorEastAsia" w:hAnsi="Arial" w:cs="Arial"/>
          <w:highlight w:val="yellow"/>
        </w:rPr>
      </w:pPr>
      <w:r w:rsidRPr="2F01C7FC">
        <w:rPr>
          <w:rStyle w:val="eop"/>
          <w:rFonts w:ascii="Arial" w:eastAsiaTheme="majorEastAsia" w:hAnsi="Arial" w:cs="Arial"/>
          <w:b/>
          <w:bCs/>
        </w:rPr>
        <w:t>Journals:</w:t>
      </w:r>
      <w:r w:rsidRPr="2F01C7FC">
        <w:rPr>
          <w:rStyle w:val="eop"/>
          <w:rFonts w:ascii="Arial" w:eastAsiaTheme="majorEastAsia" w:hAnsi="Arial" w:cs="Arial"/>
        </w:rPr>
        <w:t xml:space="preserve"> </w:t>
      </w:r>
      <w:r w:rsidR="0275BA0E" w:rsidRPr="2F01C7FC">
        <w:rPr>
          <w:rStyle w:val="eop"/>
          <w:rFonts w:ascii="Arial" w:eastAsiaTheme="majorEastAsia" w:hAnsi="Arial" w:cs="Arial"/>
        </w:rPr>
        <w:t xml:space="preserve">The library currently subscribes to 99% of the 595 journals listed in the 2023 </w:t>
      </w:r>
      <w:r w:rsidR="0275BA0E" w:rsidRPr="2F01C7FC">
        <w:rPr>
          <w:rStyle w:val="eop"/>
          <w:rFonts w:ascii="Arial" w:eastAsiaTheme="majorEastAsia" w:hAnsi="Arial" w:cs="Arial"/>
          <w:i/>
          <w:iCs/>
        </w:rPr>
        <w:t>Journal Citation Reports</w:t>
      </w:r>
      <w:r w:rsidR="0275BA0E" w:rsidRPr="2F01C7FC">
        <w:rPr>
          <w:rStyle w:val="eop"/>
          <w:rFonts w:ascii="Arial" w:eastAsiaTheme="majorEastAsia" w:hAnsi="Arial" w:cs="Arial"/>
        </w:rPr>
        <w:t xml:space="preserve"> for “Business,” “Business, Finance,” “Management,” and “Economics” which includes full coverage of such areas of study as strategic and operations management, marketing, accountin</w:t>
      </w:r>
      <w:r w:rsidR="7832D9B3" w:rsidRPr="2F01C7FC">
        <w:rPr>
          <w:rStyle w:val="eop"/>
          <w:rFonts w:ascii="Arial" w:eastAsiaTheme="majorEastAsia" w:hAnsi="Arial" w:cs="Arial"/>
        </w:rPr>
        <w:t>g, and business law</w:t>
      </w:r>
      <w:r w:rsidR="0275BA0E" w:rsidRPr="2F01C7FC">
        <w:rPr>
          <w:rStyle w:val="eop"/>
          <w:rFonts w:ascii="Arial" w:eastAsiaTheme="majorEastAsia" w:hAnsi="Arial" w:cs="Arial"/>
        </w:rPr>
        <w:t xml:space="preserve">. In all instances, students can access nearly complete journal suites, often extending back to the first issue. Examples of core publishers include Elsevier, Emerald, Sage, Taylor &amp; Francis, and Wiley. To encourage the adoption of </w:t>
      </w:r>
      <w:r w:rsidR="1CC1C7DF" w:rsidRPr="2F01C7FC">
        <w:rPr>
          <w:rStyle w:val="eop"/>
          <w:rFonts w:ascii="Arial" w:eastAsiaTheme="majorEastAsia" w:hAnsi="Arial" w:cs="Arial"/>
        </w:rPr>
        <w:t>open access (</w:t>
      </w:r>
      <w:r w:rsidR="0275BA0E" w:rsidRPr="2F01C7FC">
        <w:rPr>
          <w:rStyle w:val="eop"/>
          <w:rFonts w:ascii="Arial" w:eastAsiaTheme="majorEastAsia" w:hAnsi="Arial" w:cs="Arial"/>
        </w:rPr>
        <w:t>OA</w:t>
      </w:r>
      <w:r w:rsidR="36CD4E57" w:rsidRPr="2F01C7FC">
        <w:rPr>
          <w:rStyle w:val="eop"/>
          <w:rFonts w:ascii="Arial" w:eastAsiaTheme="majorEastAsia" w:hAnsi="Arial" w:cs="Arial"/>
        </w:rPr>
        <w:t>)</w:t>
      </w:r>
      <w:r w:rsidR="0275BA0E" w:rsidRPr="2F01C7FC">
        <w:rPr>
          <w:rStyle w:val="eop"/>
          <w:rFonts w:ascii="Arial" w:eastAsiaTheme="majorEastAsia" w:hAnsi="Arial" w:cs="Arial"/>
        </w:rPr>
        <w:t xml:space="preserve"> publishing models, and better facilitate discovery by our users, the library links to all titles on the Directory of Open Access Journals, including those relevant to business, management, finance, and economics.</w:t>
      </w:r>
    </w:p>
    <w:p w14:paraId="2F05B6EF" w14:textId="4BFE4104" w:rsidR="00E8253B" w:rsidRDefault="00DE6F92" w:rsidP="2F01C7FC">
      <w:pPr>
        <w:pStyle w:val="paragraph"/>
        <w:rPr>
          <w:rStyle w:val="eop"/>
          <w:rFonts w:ascii="Arial" w:eastAsiaTheme="majorEastAsia" w:hAnsi="Arial" w:cs="Arial"/>
          <w:highlight w:val="yellow"/>
        </w:rPr>
      </w:pPr>
      <w:r>
        <w:rPr>
          <w:rStyle w:val="eop"/>
          <w:rFonts w:ascii="Arial" w:eastAsiaTheme="majorEastAsia" w:hAnsi="Arial" w:cs="Arial"/>
          <w:b/>
          <w:bCs/>
        </w:rPr>
        <w:t>M</w:t>
      </w:r>
      <w:r w:rsidR="00E8253B" w:rsidRPr="2F01C7FC">
        <w:rPr>
          <w:rStyle w:val="eop"/>
          <w:rFonts w:ascii="Arial" w:eastAsiaTheme="majorEastAsia" w:hAnsi="Arial" w:cs="Arial"/>
          <w:b/>
          <w:bCs/>
        </w:rPr>
        <w:t>onographs:</w:t>
      </w:r>
      <w:r w:rsidR="10656F7A" w:rsidRPr="2F01C7FC">
        <w:rPr>
          <w:rStyle w:val="eop"/>
          <w:rFonts w:ascii="Arial" w:eastAsiaTheme="majorEastAsia" w:hAnsi="Arial" w:cs="Arial"/>
        </w:rPr>
        <w:t xml:space="preserve"> The library regularly acquires books to support students enrolled in the MBA program. While the library continues to purchase books in print, e-books constitute the bulk of our business studies collection (especially amongst recent titles). This is an intentional choice on the part of the library to facilitate remote access and to support the integration of affordable course content into the campus course management system. The library obtains its e-books through a mix of comprehensive e-books packages and </w:t>
      </w:r>
      <w:r w:rsidR="36149997" w:rsidRPr="2F01C7FC">
        <w:rPr>
          <w:rStyle w:val="eop"/>
          <w:rFonts w:ascii="Arial" w:eastAsia="Arial" w:hAnsi="Arial" w:cs="Arial"/>
          <w:color w:val="000000" w:themeColor="text1"/>
          <w:szCs w:val="22"/>
        </w:rPr>
        <w:t>Evidence-Based Acquisition (EBA) subscriptions</w:t>
      </w:r>
      <w:r w:rsidR="10656F7A" w:rsidRPr="2F01C7FC">
        <w:rPr>
          <w:rStyle w:val="eop"/>
          <w:rFonts w:ascii="Arial" w:eastAsiaTheme="majorEastAsia" w:hAnsi="Arial" w:cs="Arial"/>
        </w:rPr>
        <w:t xml:space="preserve"> from such vendors as EBSCO, De Gruyter Brill, and </w:t>
      </w:r>
      <w:r w:rsidR="77E1CF28" w:rsidRPr="2F01C7FC">
        <w:rPr>
          <w:rStyle w:val="eop"/>
          <w:rFonts w:ascii="Arial" w:eastAsiaTheme="majorEastAsia" w:hAnsi="Arial" w:cs="Arial"/>
        </w:rPr>
        <w:t>Taylor &amp; Francis</w:t>
      </w:r>
      <w:r w:rsidR="10656F7A" w:rsidRPr="2F01C7FC">
        <w:rPr>
          <w:rStyle w:val="eop"/>
          <w:rFonts w:ascii="Arial" w:eastAsiaTheme="majorEastAsia" w:hAnsi="Arial" w:cs="Arial"/>
        </w:rPr>
        <w:t>, with substantial holdings from Edward Elgar and Emerald as well. Through these subscriptions the library maintains up-to-date, robust access to a range of monographic output from university presses and trade publishers with subject strengths in the fields of business, management, marketing, finance, and economics.</w:t>
      </w:r>
    </w:p>
    <w:p w14:paraId="34FA9A84" w14:textId="2A3F5269" w:rsidR="00E8253B" w:rsidRDefault="00E8253B" w:rsidP="2F01C7FC">
      <w:pPr>
        <w:pStyle w:val="paragraph"/>
      </w:pPr>
      <w:r w:rsidRPr="2F01C7FC">
        <w:rPr>
          <w:rStyle w:val="eop"/>
          <w:rFonts w:ascii="Arial" w:eastAsiaTheme="majorEastAsia" w:hAnsi="Arial" w:cs="Arial"/>
          <w:b/>
          <w:bCs/>
        </w:rPr>
        <w:t>Multimedia resources:</w:t>
      </w:r>
      <w:r w:rsidR="54FF6CE5" w:rsidRPr="2F01C7FC">
        <w:rPr>
          <w:rStyle w:val="eop"/>
          <w:rFonts w:ascii="Arial" w:eastAsiaTheme="majorEastAsia" w:hAnsi="Arial" w:cs="Arial"/>
        </w:rPr>
        <w:t xml:space="preserve"> The library also subscribes to a suite of multimedia resources from Sage (e.g., Sage Business Cases, Sage Research Methods) which feature case studies, journal articles, and instructional videos related to the subjects of business, management, marketing, and finance, among others.</w:t>
      </w:r>
      <w:r w:rsidR="07A60880" w:rsidRPr="2F01C7FC">
        <w:rPr>
          <w:rStyle w:val="eop"/>
          <w:rFonts w:ascii="Arial" w:eastAsiaTheme="majorEastAsia" w:hAnsi="Arial" w:cs="Arial"/>
        </w:rPr>
        <w:t xml:space="preserve"> </w:t>
      </w:r>
      <w:r w:rsidR="07A60880" w:rsidRPr="2F01C7FC">
        <w:rPr>
          <w:rStyle w:val="eop"/>
          <w:rFonts w:ascii="Arial" w:eastAsia="Arial" w:hAnsi="Arial" w:cs="Arial"/>
          <w:color w:val="000000" w:themeColor="text1"/>
          <w:szCs w:val="22"/>
        </w:rPr>
        <w:t>These resources are equipped to support student research at the graduate level.</w:t>
      </w:r>
    </w:p>
    <w:p w14:paraId="42E55B52" w14:textId="77777777" w:rsidR="00E8253B" w:rsidRPr="00462764" w:rsidRDefault="00E8253B" w:rsidP="00DE6F92">
      <w:pPr>
        <w:pStyle w:val="Heading2"/>
      </w:pPr>
      <w:r>
        <w:lastRenderedPageBreak/>
        <w:t>Academic and Professional Skills</w:t>
      </w:r>
    </w:p>
    <w:p w14:paraId="73ED2D28" w14:textId="77777777" w:rsidR="00E8253B" w:rsidRPr="004649DD" w:rsidRDefault="00E8253B" w:rsidP="00DE6F92">
      <w:pPr>
        <w:pStyle w:val="Heading3"/>
      </w:pPr>
      <w:bookmarkStart w:id="2" w:name="_Hlk68598352"/>
      <w:r>
        <w:t xml:space="preserve">Research, Information Literacy and Knowledge Synthesis  </w:t>
      </w:r>
    </w:p>
    <w:p w14:paraId="727CF856" w14:textId="0AB542D9" w:rsidR="00E8253B" w:rsidRPr="009D488A" w:rsidRDefault="00E8253B" w:rsidP="2F01C7FC">
      <w:pPr>
        <w:pStyle w:val="Body"/>
      </w:pPr>
      <w:r>
        <w:t xml:space="preserve">Information literacy (IL) librarians support students in developing the skills and knowledge necessary to find, manage, and critically evaluate information, with a focus on the scholarly literature and other forms of information specifically relevant to their discipline. IL librarians also seek to help students </w:t>
      </w:r>
      <w:proofErr w:type="gramStart"/>
      <w:r>
        <w:t>to develop</w:t>
      </w:r>
      <w:proofErr w:type="gramEnd"/>
      <w:r>
        <w:t xml:space="preserve"> a critical understanding of the systems of power that control the creation, distribution, and commodification of information.</w:t>
      </w:r>
    </w:p>
    <w:p w14:paraId="3F5001E4" w14:textId="77777777" w:rsidR="00E8253B" w:rsidRDefault="00E8253B" w:rsidP="00DE6F92">
      <w:pPr>
        <w:pStyle w:val="Body"/>
        <w:spacing w:before="240"/>
      </w:pPr>
      <w:r>
        <w:t>IL librarians prioritize curriculum-integrated support to required courses that have research skills assignments or components. Such courses can be supported via guest lectures; customized digital learning objects, such as interactive tutorials or course guides; and/or one-on-one or small group consultations with librarians.</w:t>
      </w:r>
    </w:p>
    <w:p w14:paraId="4777A4EE" w14:textId="32DAAA38" w:rsidR="00E8253B" w:rsidRDefault="00E8253B" w:rsidP="00DE6F92">
      <w:pPr>
        <w:pStyle w:val="Body"/>
        <w:spacing w:before="240"/>
      </w:pPr>
      <w:r>
        <w:t xml:space="preserve">In graduate programs, IL librarians seek to support students through a variety of means, including course-integrated support, an appearance at an orientation event, and one-on-one or small group consultations. Graduate students working on theses, dissertations, or major research projects are primarily supported via one-on-one consultations. </w:t>
      </w:r>
      <w:r w:rsidR="10396AFC">
        <w:t xml:space="preserve">A small handful of MBA students have sought consultations in the past seven </w:t>
      </w:r>
      <w:r w:rsidR="7E23C598">
        <w:t>years</w:t>
      </w:r>
      <w:r w:rsidR="55A7D738">
        <w:t>.</w:t>
      </w:r>
      <w:r w:rsidR="10396AFC">
        <w:t xml:space="preserve"> </w:t>
      </w:r>
      <w:r>
        <w:t xml:space="preserve">IL librarians have not historically been involved in any of the required or elective courses </w:t>
      </w:r>
      <w:r w:rsidR="1E827C06">
        <w:t>in the program but have been invited to present every year at the</w:t>
      </w:r>
      <w:r w:rsidR="0F7F00FC">
        <w:t xml:space="preserve"> annual orientation event</w:t>
      </w:r>
      <w:r>
        <w:t>.</w:t>
      </w:r>
    </w:p>
    <w:bookmarkEnd w:id="2"/>
    <w:p w14:paraId="6A6614B2" w14:textId="77777777" w:rsidR="00E8253B" w:rsidRPr="004649DD" w:rsidRDefault="00E8253B" w:rsidP="00DE6F92">
      <w:pPr>
        <w:pStyle w:val="Heading3"/>
      </w:pPr>
      <w:r>
        <w:t xml:space="preserve">Writing Services  </w:t>
      </w:r>
    </w:p>
    <w:p w14:paraId="54BAA886" w14:textId="64AD2589" w:rsidR="00E8253B" w:rsidRDefault="68A46B1E" w:rsidP="2F01C7FC">
      <w:pPr>
        <w:rPr>
          <w:rFonts w:ascii="DM Sans 14pt" w:eastAsia="DM Sans 14pt" w:hAnsi="DM Sans 14pt" w:cs="DM Sans 14pt"/>
          <w:color w:val="000000" w:themeColor="text1"/>
          <w:sz w:val="22"/>
          <w:szCs w:val="22"/>
          <w:lang w:val="en-US"/>
        </w:rPr>
      </w:pPr>
      <w:r w:rsidRPr="2F01C7FC">
        <w:rPr>
          <w:rFonts w:ascii="DM Sans 14pt" w:eastAsia="DM Sans 14pt" w:hAnsi="DM Sans 14pt" w:cs="DM Sans 14pt"/>
          <w:color w:val="000000" w:themeColor="text1"/>
          <w:sz w:val="22"/>
          <w:szCs w:val="22"/>
          <w:lang w:val="en-US"/>
        </w:rPr>
        <w:t>Writing Services provides support to undergraduate and graduate students, postdoctoral researchers, faculty, and visiting scholars through a range of programs and services, including individual writing appointments, in-class guest lectures, curricular support and resources, and extensive co-curricular programming such as Dissertation Writing Retreat (a week-long intensive program for graduate students) and the Writing in the Sciences Workshop series. Writing Services offers dedicated appointments and workshops for students for whom English is an additional language. Writing Services also offers the annual Faculty Writing Retreat, a week-long intensive program for faculty. Participants report high productivity in preparing research grant proposals and preparing manuscripts for publication.</w:t>
      </w:r>
    </w:p>
    <w:p w14:paraId="0A75B5CD" w14:textId="28D83A97" w:rsidR="00E8253B" w:rsidRDefault="68A46B1E" w:rsidP="00DE6F92">
      <w:pPr>
        <w:spacing w:before="240" w:after="160"/>
        <w:rPr>
          <w:rFonts w:ascii="DM Sans 14pt" w:eastAsia="DM Sans 14pt" w:hAnsi="DM Sans 14pt" w:cs="DM Sans 14pt"/>
          <w:color w:val="000000"/>
          <w:sz w:val="22"/>
          <w:szCs w:val="22"/>
        </w:rPr>
      </w:pPr>
      <w:r w:rsidRPr="2F01C7FC">
        <w:rPr>
          <w:rFonts w:ascii="DM Sans 14pt" w:eastAsia="DM Sans 14pt" w:hAnsi="DM Sans 14pt" w:cs="DM Sans 14pt"/>
          <w:color w:val="000000" w:themeColor="text1"/>
          <w:sz w:val="22"/>
          <w:szCs w:val="22"/>
          <w:lang w:val="en-US"/>
        </w:rPr>
        <w:t>Writing Services has been invited to present at some offerings of the annual orientation event for students in the MBA program.</w:t>
      </w:r>
    </w:p>
    <w:p w14:paraId="60CC357D" w14:textId="77777777" w:rsidR="00E8253B" w:rsidRPr="00B31CC8" w:rsidRDefault="00E8253B" w:rsidP="00DE6F92">
      <w:pPr>
        <w:pStyle w:val="Heading3"/>
      </w:pPr>
      <w:r>
        <w:lastRenderedPageBreak/>
        <w:t>Learning Services</w:t>
      </w:r>
    </w:p>
    <w:p w14:paraId="0286FDE1" w14:textId="518230DD" w:rsidR="16ED4E4C" w:rsidRDefault="16ED4E4C" w:rsidP="2F01C7FC">
      <w:pPr>
        <w:pStyle w:val="Body"/>
        <w:rPr>
          <w:rFonts w:eastAsia="DM Sans 14pt" w:cs="DM Sans 14pt"/>
        </w:rPr>
      </w:pPr>
      <w:r w:rsidRPr="2F01C7FC">
        <w:rPr>
          <w:rFonts w:eastAsia="DM Sans 14pt" w:cs="DM Sans 14pt"/>
        </w:rPr>
        <w:t>Learning Services supports students in the learning process and in the development of academic skills related to study strategies, time management, and presentation skills. They provide in-class guest lectures, individual appointments with students, workshops, and resources.</w:t>
      </w:r>
    </w:p>
    <w:bookmarkEnd w:id="1"/>
    <w:p w14:paraId="24A27BFB" w14:textId="77777777" w:rsidR="00E8253B" w:rsidRPr="00B31CC8" w:rsidRDefault="00E8253B" w:rsidP="00DE6F92">
      <w:pPr>
        <w:pStyle w:val="Heading3"/>
      </w:pPr>
      <w:r>
        <w:t>Scholarship and Data Services </w:t>
      </w:r>
      <w:r w:rsidRPr="2F01C7FC">
        <w:rPr>
          <w:rFonts w:ascii="Arial" w:eastAsia="Arial" w:hAnsi="Arial" w:cs="Arial"/>
        </w:rPr>
        <w:t xml:space="preserve"> </w:t>
      </w:r>
    </w:p>
    <w:p w14:paraId="78730CD6" w14:textId="03C5F4A1" w:rsidR="00E8253B" w:rsidRPr="0036758A" w:rsidRDefault="0FA2C397" w:rsidP="2F01C7FC">
      <w:pPr>
        <w:pStyle w:val="Body"/>
        <w:rPr>
          <w:rFonts w:eastAsia="DM Sans 14pt" w:cs="DM Sans 14pt"/>
        </w:rPr>
      </w:pPr>
      <w:r w:rsidRPr="2F01C7FC">
        <w:rPr>
          <w:rFonts w:eastAsia="DM Sans 14pt" w:cs="DM Sans 14pt"/>
        </w:rPr>
        <w:t>We provide support for students’ data and publishing activities, especially at the senior undergraduate and graduate levels through individual appointments, in-class teaching, specialized drop-in workshops, and customized digital learning objects such as instruction sheets, videos, and tutorials. The library provides access to data resources and software, as well as specialist support for the use and analysis of GIS, textual, quantitative, and qualitative data. We support research data management and manage the institutional and data repositories. Members of the R&amp;S Team provide support for publishing matters, including exploring open access options, evaluating journals, and understanding copyright and licensing considerations.</w:t>
      </w:r>
    </w:p>
    <w:sectPr w:rsidR="00E8253B" w:rsidRPr="0036758A" w:rsidSect="00DC6D4E">
      <w:headerReference w:type="default" r:id="rId11"/>
      <w:footerReference w:type="even" r:id="rId12"/>
      <w:footerReference w:type="default" r:id="rId13"/>
      <w:headerReference w:type="first" r:id="rId14"/>
      <w:footerReference w:type="first" r:id="rId15"/>
      <w:pgSz w:w="12240" w:h="15840"/>
      <w:pgMar w:top="1440" w:right="1080" w:bottom="1440" w:left="1080" w:header="1140" w:footer="13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44892" w14:textId="77777777" w:rsidR="00902D60" w:rsidRDefault="00902D60" w:rsidP="000D2F8B">
      <w:r>
        <w:separator/>
      </w:r>
    </w:p>
  </w:endnote>
  <w:endnote w:type="continuationSeparator" w:id="0">
    <w:p w14:paraId="1D6DD215" w14:textId="77777777" w:rsidR="00902D60" w:rsidRDefault="00902D60" w:rsidP="000D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erstadt">
    <w:charset w:val="00"/>
    <w:family w:val="swiss"/>
    <w:pitch w:val="variable"/>
    <w:sig w:usb0="80000003" w:usb1="00000001" w:usb2="00000000" w:usb3="00000000" w:csb0="00000001" w:csb1="00000000"/>
    <w:embedRegular r:id="rId1" w:fontKey="{0796D1EE-765F-4A97-A84B-D8BB85D4B8A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BC93721-E32B-4E1F-8944-1649CE9B5E1F}"/>
    <w:embedBold r:id="rId3" w:fontKey="{C3A776A2-B64C-4991-8E82-940B616B6327}"/>
    <w:embedBoldItalic r:id="rId4" w:fontKey="{76FF112F-B9B9-4072-9945-511369BBD5E9}"/>
  </w:font>
  <w:font w:name="Bitter">
    <w:panose1 w:val="00000000000000000000"/>
    <w:charset w:val="00"/>
    <w:family w:val="auto"/>
    <w:pitch w:val="variable"/>
    <w:sig w:usb0="A00002FF" w:usb1="400020FB" w:usb2="00000000" w:usb3="00000000" w:csb0="00000197" w:csb1="00000000"/>
    <w:embedRegular r:id="rId5" w:fontKey="{9C3C107D-F631-40DD-A649-1208D3006206}"/>
    <w:embedBold r:id="rId6" w:fontKey="{1B0A83D8-3DB1-4B7C-B828-DC5F63E83E80}"/>
  </w:font>
  <w:font w:name="Helvetica">
    <w:panose1 w:val="020B0604020202020204"/>
    <w:charset w:val="00"/>
    <w:family w:val="swiss"/>
    <w:pitch w:val="variable"/>
    <w:sig w:usb0="E0002EFF" w:usb1="C000785B" w:usb2="00000009" w:usb3="00000000" w:csb0="000001FF" w:csb1="00000000"/>
    <w:embedRegular r:id="rId7" w:fontKey="{36B3F645-D8F3-429A-A5B0-A68ED2DA44CE}"/>
    <w:embedBold r:id="rId8" w:fontKey="{EEACA014-0032-4E60-8001-4473F7CB96C6}"/>
  </w:font>
  <w:font w:name="DM Sans 14pt">
    <w:panose1 w:val="00000000000000000000"/>
    <w:charset w:val="00"/>
    <w:family w:val="auto"/>
    <w:pitch w:val="variable"/>
    <w:sig w:usb0="8000002F" w:usb1="4000204B" w:usb2="00000000" w:usb3="00000000" w:csb0="00000093" w:csb1="00000000"/>
    <w:embedRegular r:id="rId9" w:fontKey="{33E5531F-9DDD-404D-A5C2-910643EE8CB8}"/>
    <w:embedBold r:id="rId10" w:fontKey="{65147510-6F81-4AB0-B996-593A0C50BCA8}"/>
  </w:font>
  <w:font w:name="Calibri Light">
    <w:panose1 w:val="020F0302020204030204"/>
    <w:charset w:val="00"/>
    <w:family w:val="swiss"/>
    <w:pitch w:val="variable"/>
    <w:sig w:usb0="E4002EFF" w:usb1="C200247B" w:usb2="00000009" w:usb3="00000000" w:csb0="000001FF" w:csb1="00000000"/>
    <w:embedRegular r:id="rId11" w:fontKey="{18902221-9BEA-4B6E-91F1-7E8FC9A45C49}"/>
  </w:font>
  <w:font w:name="Arial (Body)">
    <w:altName w:val="Arial"/>
    <w:charset w:val="00"/>
    <w:family w:val="roman"/>
    <w:pitch w:val="default"/>
  </w:font>
  <w:font w:name="Times">
    <w:panose1 w:val="02020603050405020304"/>
    <w:charset w:val="00"/>
    <w:family w:val="roman"/>
    <w:pitch w:val="variable"/>
    <w:sig w:usb0="E0002EFF" w:usb1="C000785B" w:usb2="00000009" w:usb3="00000000" w:csb0="000001FF" w:csb1="00000000"/>
    <w:embedRegular r:id="rId12" w:fontKey="{36153991-DE99-4983-80C8-1EDFD8C2385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9840984"/>
      <w:docPartObj>
        <w:docPartGallery w:val="Page Numbers (Bottom of Page)"/>
        <w:docPartUnique/>
      </w:docPartObj>
    </w:sdtPr>
    <w:sdtContent>
      <w:p w14:paraId="01A3681D" w14:textId="7F7F8D37" w:rsidR="000D2F8B" w:rsidRDefault="000D2F8B" w:rsidP="004A5D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2C63D8" w14:textId="77777777" w:rsidR="000D2F8B" w:rsidRDefault="000D2F8B" w:rsidP="000D2F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EEBD" w14:textId="77777777" w:rsidR="004A5DD5" w:rsidRDefault="004A5DD5" w:rsidP="000D2F8B">
    <w:pPr>
      <w:pStyle w:val="Footer"/>
      <w:ind w:right="360"/>
    </w:pPr>
  </w:p>
  <w:p w14:paraId="09174C57"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5DD85ABA" w14:textId="0216E1F7" w:rsidR="007A6C7B" w:rsidRPr="007A6C7B" w:rsidRDefault="000A3B16" w:rsidP="007A6C7B">
    <w:pPr>
      <w:pStyle w:val="Footer"/>
      <w:rPr>
        <w:rFonts w:ascii="DM Sans 14pt" w:hAnsi="DM Sans 14pt" w:cs="Helvetica"/>
        <w:bCs/>
        <w:sz w:val="18"/>
        <w:szCs w:val="18"/>
      </w:rPr>
    </w:pPr>
    <w:r>
      <w:rPr>
        <w:rFonts w:ascii="DM Sans 14pt" w:hAnsi="DM Sans 14pt" w:cs="Helvetica"/>
        <w:bCs/>
        <w:sz w:val="18"/>
        <w:szCs w:val="18"/>
      </w:rPr>
      <w:t>McLaughlin Library</w:t>
    </w:r>
  </w:p>
  <w:p w14:paraId="501D8974"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82F18F6"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7E598048" w14:textId="0891B7AF" w:rsidR="000D2F8B" w:rsidRPr="00FB77EB" w:rsidRDefault="007A6C7B" w:rsidP="007A6C7B">
    <w:pPr>
      <w:pStyle w:val="Footer"/>
      <w:rPr>
        <w:rFonts w:ascii="DM Sans 14pt" w:hAnsi="DM Sans 14pt" w:cs="Helvetica"/>
        <w:sz w:val="18"/>
        <w:szCs w:val="18"/>
      </w:rPr>
    </w:pPr>
    <w:r w:rsidRPr="00BD4818">
      <w:rPr>
        <w:rFonts w:ascii="DM Sans 14pt" w:hAnsi="DM Sans 14pt" w:cs="Helvetica"/>
        <w:noProof/>
        <w:sz w:val="18"/>
        <w:szCs w:val="18"/>
        <w:highlight w:val="yellow"/>
      </w:rPr>
      <w:drawing>
        <wp:anchor distT="0" distB="0" distL="114300" distR="114300" simplePos="0" relativeHeight="251660288" behindDoc="0" locked="0" layoutInCell="1" allowOverlap="1" wp14:anchorId="3A219963" wp14:editId="465AC627">
          <wp:simplePos x="0" y="0"/>
          <wp:positionH relativeFrom="column">
            <wp:posOffset>4286362</wp:posOffset>
          </wp:positionH>
          <wp:positionV relativeFrom="paragraph">
            <wp:posOffset>85090</wp:posOffset>
          </wp:positionV>
          <wp:extent cx="1613647" cy="179639"/>
          <wp:effectExtent l="0" t="0" r="0" b="0"/>
          <wp:wrapNone/>
          <wp:docPr id="168906240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2403"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0A3B16" w:rsidRPr="00221B59">
        <w:rPr>
          <w:rStyle w:val="Hyperlink"/>
          <w:rFonts w:ascii="DM Sans 14pt" w:hAnsi="DM Sans 14pt" w:cs="Helvetica"/>
          <w:color w:val="E51937"/>
          <w:sz w:val="18"/>
          <w:szCs w:val="18"/>
        </w:rPr>
        <w:t>lib.uoguelph.ca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70FC"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2F2E9CC4" w14:textId="2F24F381" w:rsidR="00F63A03" w:rsidRPr="007A6C7B" w:rsidRDefault="00F63A03" w:rsidP="007A6C7B">
    <w:pPr>
      <w:pStyle w:val="Footer"/>
      <w:rPr>
        <w:rFonts w:ascii="DM Sans 14pt" w:hAnsi="DM Sans 14pt" w:cs="Helvetica"/>
        <w:bCs/>
        <w:sz w:val="18"/>
        <w:szCs w:val="18"/>
      </w:rPr>
    </w:pPr>
    <w:r w:rsidRPr="007A6C7B">
      <w:rPr>
        <w:rFonts w:ascii="DM Sans 14pt" w:hAnsi="DM Sans 14pt" w:cs="Helvetica"/>
        <w:bCs/>
        <w:sz w:val="18"/>
        <w:szCs w:val="18"/>
      </w:rPr>
      <w:t>Department Name</w:t>
    </w:r>
  </w:p>
  <w:p w14:paraId="2A40E3B2" w14:textId="20062D34"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66BEB00" w14:textId="1D724B22"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45230F7B" w14:textId="32E571FC" w:rsidR="00F63A03" w:rsidRPr="00FB77EB" w:rsidRDefault="00FB77EB" w:rsidP="007A6C7B">
    <w:pPr>
      <w:pStyle w:val="Footer"/>
      <w:rPr>
        <w:rFonts w:ascii="DM Sans 14pt" w:hAnsi="DM Sans 14pt" w:cs="Helvetica"/>
        <w:sz w:val="18"/>
        <w:szCs w:val="18"/>
      </w:rPr>
    </w:pPr>
    <w:r w:rsidRPr="00FB77EB">
      <w:rPr>
        <w:rFonts w:ascii="DM Sans 14pt" w:hAnsi="DM Sans 14pt" w:cs="Helvetica"/>
        <w:sz w:val="18"/>
        <w:szCs w:val="18"/>
      </w:rPr>
      <w:t>(</w:t>
    </w:r>
    <w:r w:rsidR="00F63A03" w:rsidRPr="00FB77EB">
      <w:rPr>
        <w:rFonts w:ascii="DM Sans 14pt" w:hAnsi="DM Sans 14pt" w:cs="Helvetica"/>
        <w:sz w:val="18"/>
        <w:szCs w:val="18"/>
      </w:rPr>
      <w:t>519) 824-4120 x56934</w:t>
    </w:r>
  </w:p>
  <w:p w14:paraId="7EA90A7E" w14:textId="7A905B97" w:rsidR="00C51931" w:rsidRPr="00FB77EB" w:rsidRDefault="00FB77EB" w:rsidP="007A6C7B">
    <w:pPr>
      <w:pStyle w:val="Footer"/>
      <w:rPr>
        <w:rFonts w:ascii="DM Sans 14pt" w:hAnsi="DM Sans 14pt" w:cs="Helvetica"/>
        <w:sz w:val="18"/>
        <w:szCs w:val="18"/>
      </w:rPr>
    </w:pPr>
    <w:r w:rsidRPr="00FB77EB">
      <w:rPr>
        <w:rFonts w:ascii="DM Sans 14pt" w:hAnsi="DM Sans 14pt" w:cs="Helvetica"/>
        <w:noProof/>
        <w:sz w:val="18"/>
        <w:szCs w:val="18"/>
      </w:rPr>
      <w:drawing>
        <wp:anchor distT="0" distB="0" distL="114300" distR="114300" simplePos="0" relativeHeight="251658240" behindDoc="0" locked="0" layoutInCell="1" allowOverlap="1" wp14:anchorId="09B95866" wp14:editId="7A139D6E">
          <wp:simplePos x="0" y="0"/>
          <wp:positionH relativeFrom="column">
            <wp:posOffset>4286362</wp:posOffset>
          </wp:positionH>
          <wp:positionV relativeFrom="paragraph">
            <wp:posOffset>85090</wp:posOffset>
          </wp:positionV>
          <wp:extent cx="1613647" cy="179639"/>
          <wp:effectExtent l="0" t="0" r="0" b="0"/>
          <wp:wrapNone/>
          <wp:docPr id="689265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59"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r w:rsidR="00F63A03" w:rsidRPr="00FB77EB">
      <w:rPr>
        <w:rFonts w:ascii="DM Sans 14pt" w:hAnsi="DM Sans 14pt" w:cs="Helvetica"/>
        <w:sz w:val="18"/>
        <w:szCs w:val="18"/>
      </w:rPr>
      <w:t>example@uoguelph.ca</w:t>
    </w:r>
    <w:r w:rsidR="00F63A03" w:rsidRPr="00FB77EB">
      <w:rPr>
        <w:rFonts w:ascii="DM Sans 14pt" w:hAnsi="DM Sans 14pt" w:cs="Helvetica"/>
        <w:sz w:val="18"/>
        <w:szCs w:val="18"/>
      </w:rPr>
      <w:br/>
    </w:r>
    <w:hyperlink r:id="rId3" w:history="1">
      <w:r w:rsidR="00F63A03" w:rsidRPr="00FB77EB">
        <w:rPr>
          <w:rStyle w:val="Hyperlink"/>
          <w:rFonts w:ascii="DM Sans 14pt" w:hAnsi="DM Sans 14pt" w:cs="Helvetica"/>
          <w:color w:val="C00000"/>
          <w:sz w:val="18"/>
          <w:szCs w:val="18"/>
        </w:rPr>
        <w:t>uoguelph.ca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2812D" w14:textId="77777777" w:rsidR="00902D60" w:rsidRDefault="00902D60" w:rsidP="000D2F8B">
      <w:r>
        <w:separator/>
      </w:r>
    </w:p>
  </w:footnote>
  <w:footnote w:type="continuationSeparator" w:id="0">
    <w:p w14:paraId="18AAF427" w14:textId="77777777" w:rsidR="00902D60" w:rsidRDefault="00902D60" w:rsidP="000D2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B147" w14:textId="43550DF5" w:rsidR="000E7EDB" w:rsidRDefault="000A3B16">
    <w:pPr>
      <w:pStyle w:val="Header"/>
    </w:pPr>
    <w:r>
      <w:rPr>
        <w:noProof/>
      </w:rPr>
      <w:drawing>
        <wp:inline distT="0" distB="0" distL="0" distR="0" wp14:anchorId="31053F21" wp14:editId="704A6C90">
          <wp:extent cx="2273370" cy="460503"/>
          <wp:effectExtent l="0" t="0" r="0" b="0"/>
          <wp:docPr id="4176169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1697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42983" cy="494861"/>
                  </a:xfrm>
                  <a:prstGeom prst="rect">
                    <a:avLst/>
                  </a:prstGeom>
                </pic:spPr>
              </pic:pic>
            </a:graphicData>
          </a:graphic>
        </wp:inline>
      </w:drawing>
    </w:r>
  </w:p>
  <w:p w14:paraId="55812EF6" w14:textId="77777777" w:rsidR="006F5B31" w:rsidRDefault="006F5B31">
    <w:pPr>
      <w:pStyle w:val="Header"/>
    </w:pPr>
  </w:p>
  <w:p w14:paraId="3A697A7F" w14:textId="77777777" w:rsidR="004A5DD5" w:rsidRDefault="004A5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8136" w14:textId="7FE63C28" w:rsidR="00F63A03" w:rsidRDefault="00CD538A">
    <w:pPr>
      <w:pStyle w:val="Header"/>
    </w:pPr>
    <w:r>
      <w:rPr>
        <w:noProof/>
      </w:rPr>
      <w:drawing>
        <wp:inline distT="0" distB="0" distL="0" distR="0" wp14:anchorId="399CD93F" wp14:editId="27604B61">
          <wp:extent cx="4337257" cy="693683"/>
          <wp:effectExtent l="0" t="0" r="6350" b="0"/>
          <wp:docPr id="312847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712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4492860" cy="718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86FCF"/>
    <w:multiLevelType w:val="hybridMultilevel"/>
    <w:tmpl w:val="685C1266"/>
    <w:lvl w:ilvl="0" w:tplc="1536051C">
      <w:start w:val="1"/>
      <w:numFmt w:val="decimal"/>
      <w:lvlText w:val="%1."/>
      <w:lvlJc w:val="left"/>
      <w:pPr>
        <w:ind w:left="360" w:hanging="360"/>
      </w:pPr>
      <w:rPr>
        <w:rFonts w:ascii="Bierstadt" w:hAnsi="Bierstadt"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03BB18"/>
    <w:multiLevelType w:val="hybridMultilevel"/>
    <w:tmpl w:val="EBDCE152"/>
    <w:lvl w:ilvl="0" w:tplc="96C0EB26">
      <w:start w:val="1"/>
      <w:numFmt w:val="bullet"/>
      <w:lvlText w:val=""/>
      <w:lvlJc w:val="left"/>
      <w:pPr>
        <w:ind w:left="720" w:hanging="360"/>
      </w:pPr>
      <w:rPr>
        <w:rFonts w:ascii="Symbol" w:hAnsi="Symbol" w:hint="default"/>
      </w:rPr>
    </w:lvl>
    <w:lvl w:ilvl="1" w:tplc="A0601644">
      <w:start w:val="1"/>
      <w:numFmt w:val="bullet"/>
      <w:lvlText w:val="o"/>
      <w:lvlJc w:val="left"/>
      <w:pPr>
        <w:ind w:left="1440" w:hanging="360"/>
      </w:pPr>
      <w:rPr>
        <w:rFonts w:ascii="Courier New" w:hAnsi="Courier New" w:hint="default"/>
      </w:rPr>
    </w:lvl>
    <w:lvl w:ilvl="2" w:tplc="B4B2A33E">
      <w:start w:val="1"/>
      <w:numFmt w:val="bullet"/>
      <w:lvlText w:val=""/>
      <w:lvlJc w:val="left"/>
      <w:pPr>
        <w:ind w:left="2160" w:hanging="360"/>
      </w:pPr>
      <w:rPr>
        <w:rFonts w:ascii="Wingdings" w:hAnsi="Wingdings" w:hint="default"/>
      </w:rPr>
    </w:lvl>
    <w:lvl w:ilvl="3" w:tplc="34A03650">
      <w:start w:val="1"/>
      <w:numFmt w:val="bullet"/>
      <w:lvlText w:val=""/>
      <w:lvlJc w:val="left"/>
      <w:pPr>
        <w:ind w:left="2880" w:hanging="360"/>
      </w:pPr>
      <w:rPr>
        <w:rFonts w:ascii="Symbol" w:hAnsi="Symbol" w:hint="default"/>
      </w:rPr>
    </w:lvl>
    <w:lvl w:ilvl="4" w:tplc="0E3A3488">
      <w:start w:val="1"/>
      <w:numFmt w:val="bullet"/>
      <w:lvlText w:val="o"/>
      <w:lvlJc w:val="left"/>
      <w:pPr>
        <w:ind w:left="3600" w:hanging="360"/>
      </w:pPr>
      <w:rPr>
        <w:rFonts w:ascii="Courier New" w:hAnsi="Courier New" w:hint="default"/>
      </w:rPr>
    </w:lvl>
    <w:lvl w:ilvl="5" w:tplc="AA8AEB6E">
      <w:start w:val="1"/>
      <w:numFmt w:val="bullet"/>
      <w:lvlText w:val=""/>
      <w:lvlJc w:val="left"/>
      <w:pPr>
        <w:ind w:left="4320" w:hanging="360"/>
      </w:pPr>
      <w:rPr>
        <w:rFonts w:ascii="Wingdings" w:hAnsi="Wingdings" w:hint="default"/>
      </w:rPr>
    </w:lvl>
    <w:lvl w:ilvl="6" w:tplc="5922BE62">
      <w:start w:val="1"/>
      <w:numFmt w:val="bullet"/>
      <w:lvlText w:val=""/>
      <w:lvlJc w:val="left"/>
      <w:pPr>
        <w:ind w:left="5040" w:hanging="360"/>
      </w:pPr>
      <w:rPr>
        <w:rFonts w:ascii="Symbol" w:hAnsi="Symbol" w:hint="default"/>
      </w:rPr>
    </w:lvl>
    <w:lvl w:ilvl="7" w:tplc="2B0E227E">
      <w:start w:val="1"/>
      <w:numFmt w:val="bullet"/>
      <w:lvlText w:val="o"/>
      <w:lvlJc w:val="left"/>
      <w:pPr>
        <w:ind w:left="5760" w:hanging="360"/>
      </w:pPr>
      <w:rPr>
        <w:rFonts w:ascii="Courier New" w:hAnsi="Courier New" w:hint="default"/>
      </w:rPr>
    </w:lvl>
    <w:lvl w:ilvl="8" w:tplc="BBEA8EFE">
      <w:start w:val="1"/>
      <w:numFmt w:val="bullet"/>
      <w:lvlText w:val=""/>
      <w:lvlJc w:val="left"/>
      <w:pPr>
        <w:ind w:left="6480" w:hanging="360"/>
      </w:pPr>
      <w:rPr>
        <w:rFonts w:ascii="Wingdings" w:hAnsi="Wingdings" w:hint="default"/>
      </w:rPr>
    </w:lvl>
  </w:abstractNum>
  <w:abstractNum w:abstractNumId="2" w15:restartNumberingAfterBreak="0">
    <w:nsid w:val="75D128B0"/>
    <w:multiLevelType w:val="hybridMultilevel"/>
    <w:tmpl w:val="67FA617C"/>
    <w:lvl w:ilvl="0" w:tplc="4F4ECC7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1236938">
    <w:abstractNumId w:val="1"/>
  </w:num>
  <w:num w:numId="2" w16cid:durableId="1003053207">
    <w:abstractNumId w:val="2"/>
  </w:num>
  <w:num w:numId="3" w16cid:durableId="1600916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55"/>
    <w:rsid w:val="00021D3E"/>
    <w:rsid w:val="00031295"/>
    <w:rsid w:val="00034DFB"/>
    <w:rsid w:val="00044D05"/>
    <w:rsid w:val="000A206D"/>
    <w:rsid w:val="000A3B16"/>
    <w:rsid w:val="000C6CF3"/>
    <w:rsid w:val="000C7A98"/>
    <w:rsid w:val="000D2F8B"/>
    <w:rsid w:val="000E7EDB"/>
    <w:rsid w:val="0011357A"/>
    <w:rsid w:val="0012490F"/>
    <w:rsid w:val="00137483"/>
    <w:rsid w:val="001530AA"/>
    <w:rsid w:val="00173779"/>
    <w:rsid w:val="0019683D"/>
    <w:rsid w:val="001A11B1"/>
    <w:rsid w:val="001A2801"/>
    <w:rsid w:val="001E0A73"/>
    <w:rsid w:val="001E70D6"/>
    <w:rsid w:val="00204484"/>
    <w:rsid w:val="00221B59"/>
    <w:rsid w:val="00282AD1"/>
    <w:rsid w:val="00343B34"/>
    <w:rsid w:val="0036758A"/>
    <w:rsid w:val="00386CA2"/>
    <w:rsid w:val="0039362D"/>
    <w:rsid w:val="003B3067"/>
    <w:rsid w:val="003C3588"/>
    <w:rsid w:val="003D1C9A"/>
    <w:rsid w:val="00441BF5"/>
    <w:rsid w:val="00473739"/>
    <w:rsid w:val="004976EB"/>
    <w:rsid w:val="004A5DD5"/>
    <w:rsid w:val="004B4080"/>
    <w:rsid w:val="004E60DC"/>
    <w:rsid w:val="00510CE8"/>
    <w:rsid w:val="00563369"/>
    <w:rsid w:val="005B3EF7"/>
    <w:rsid w:val="005B526E"/>
    <w:rsid w:val="005B7C42"/>
    <w:rsid w:val="005C1179"/>
    <w:rsid w:val="005E0279"/>
    <w:rsid w:val="00606E61"/>
    <w:rsid w:val="0062772F"/>
    <w:rsid w:val="0066020E"/>
    <w:rsid w:val="006962DF"/>
    <w:rsid w:val="006F5B31"/>
    <w:rsid w:val="00702C5F"/>
    <w:rsid w:val="007125C9"/>
    <w:rsid w:val="0071330E"/>
    <w:rsid w:val="00740D41"/>
    <w:rsid w:val="007A0DAA"/>
    <w:rsid w:val="007A6C7B"/>
    <w:rsid w:val="007C2423"/>
    <w:rsid w:val="007D3947"/>
    <w:rsid w:val="007E189E"/>
    <w:rsid w:val="0083548E"/>
    <w:rsid w:val="00874E10"/>
    <w:rsid w:val="0087617E"/>
    <w:rsid w:val="008A28E0"/>
    <w:rsid w:val="008B3925"/>
    <w:rsid w:val="008D07D1"/>
    <w:rsid w:val="008F2D0F"/>
    <w:rsid w:val="00902406"/>
    <w:rsid w:val="00902D60"/>
    <w:rsid w:val="00915AD9"/>
    <w:rsid w:val="00924D37"/>
    <w:rsid w:val="009370DA"/>
    <w:rsid w:val="00964BA2"/>
    <w:rsid w:val="009879D7"/>
    <w:rsid w:val="0099687F"/>
    <w:rsid w:val="00996AE5"/>
    <w:rsid w:val="00A05E42"/>
    <w:rsid w:val="00A97A38"/>
    <w:rsid w:val="00AB617B"/>
    <w:rsid w:val="00B2651E"/>
    <w:rsid w:val="00B310DC"/>
    <w:rsid w:val="00B54242"/>
    <w:rsid w:val="00B82541"/>
    <w:rsid w:val="00B84CB7"/>
    <w:rsid w:val="00B90BAC"/>
    <w:rsid w:val="00B93B61"/>
    <w:rsid w:val="00B96825"/>
    <w:rsid w:val="00BC175D"/>
    <w:rsid w:val="00BD4818"/>
    <w:rsid w:val="00C239E1"/>
    <w:rsid w:val="00C51931"/>
    <w:rsid w:val="00C90055"/>
    <w:rsid w:val="00CA5103"/>
    <w:rsid w:val="00CD538A"/>
    <w:rsid w:val="00CE0CBC"/>
    <w:rsid w:val="00D167A6"/>
    <w:rsid w:val="00D30734"/>
    <w:rsid w:val="00D44430"/>
    <w:rsid w:val="00D65857"/>
    <w:rsid w:val="00D832AE"/>
    <w:rsid w:val="00D86987"/>
    <w:rsid w:val="00DC6D4E"/>
    <w:rsid w:val="00DD698F"/>
    <w:rsid w:val="00DE000A"/>
    <w:rsid w:val="00DE14E7"/>
    <w:rsid w:val="00DE6F92"/>
    <w:rsid w:val="00DF3A77"/>
    <w:rsid w:val="00E01D74"/>
    <w:rsid w:val="00E24BDB"/>
    <w:rsid w:val="00E341FA"/>
    <w:rsid w:val="00E37DDD"/>
    <w:rsid w:val="00E52AC7"/>
    <w:rsid w:val="00E66ABC"/>
    <w:rsid w:val="00E74F4D"/>
    <w:rsid w:val="00E8253B"/>
    <w:rsid w:val="00E82F5C"/>
    <w:rsid w:val="00E83B55"/>
    <w:rsid w:val="00F175F8"/>
    <w:rsid w:val="00F214FE"/>
    <w:rsid w:val="00F37AC5"/>
    <w:rsid w:val="00F52FEA"/>
    <w:rsid w:val="00F61898"/>
    <w:rsid w:val="00F63A03"/>
    <w:rsid w:val="00FB77EB"/>
    <w:rsid w:val="00FE02D0"/>
    <w:rsid w:val="00FF148C"/>
    <w:rsid w:val="01EDA3FE"/>
    <w:rsid w:val="0275BA0E"/>
    <w:rsid w:val="02DC76CD"/>
    <w:rsid w:val="05C16635"/>
    <w:rsid w:val="070AEB6A"/>
    <w:rsid w:val="07A60880"/>
    <w:rsid w:val="08798CE6"/>
    <w:rsid w:val="0A7BA5C5"/>
    <w:rsid w:val="0F7F00FC"/>
    <w:rsid w:val="0FA2C397"/>
    <w:rsid w:val="10396AFC"/>
    <w:rsid w:val="10656F7A"/>
    <w:rsid w:val="159616F0"/>
    <w:rsid w:val="16ED4E4C"/>
    <w:rsid w:val="1B1306C5"/>
    <w:rsid w:val="1CC1C7DF"/>
    <w:rsid w:val="1D11C69E"/>
    <w:rsid w:val="1DCE2E89"/>
    <w:rsid w:val="1E827C06"/>
    <w:rsid w:val="1ED20009"/>
    <w:rsid w:val="22554997"/>
    <w:rsid w:val="23CEE679"/>
    <w:rsid w:val="27B86C17"/>
    <w:rsid w:val="27B9918F"/>
    <w:rsid w:val="29E4AA1C"/>
    <w:rsid w:val="2A7E20B2"/>
    <w:rsid w:val="2B446546"/>
    <w:rsid w:val="2F01C7FC"/>
    <w:rsid w:val="34761841"/>
    <w:rsid w:val="36149997"/>
    <w:rsid w:val="36CD4E57"/>
    <w:rsid w:val="38B3E169"/>
    <w:rsid w:val="3A333557"/>
    <w:rsid w:val="3E0C0DB5"/>
    <w:rsid w:val="43D11E03"/>
    <w:rsid w:val="4461F79F"/>
    <w:rsid w:val="474AEC4F"/>
    <w:rsid w:val="4A4AA3B9"/>
    <w:rsid w:val="4B1F8DB3"/>
    <w:rsid w:val="4E313564"/>
    <w:rsid w:val="4E4721EE"/>
    <w:rsid w:val="4F4229FD"/>
    <w:rsid w:val="50A7836D"/>
    <w:rsid w:val="54FF6CE5"/>
    <w:rsid w:val="55A7D738"/>
    <w:rsid w:val="57795CA8"/>
    <w:rsid w:val="5D770DDC"/>
    <w:rsid w:val="658632B0"/>
    <w:rsid w:val="66506CC1"/>
    <w:rsid w:val="68A46B1E"/>
    <w:rsid w:val="68FAECE5"/>
    <w:rsid w:val="7005E924"/>
    <w:rsid w:val="7297FDA4"/>
    <w:rsid w:val="75F16C8C"/>
    <w:rsid w:val="77E1CF28"/>
    <w:rsid w:val="7832D9B3"/>
    <w:rsid w:val="7B93B8DA"/>
    <w:rsid w:val="7E23C5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9DE41"/>
  <w15:chartTrackingRefBased/>
  <w15:docId w15:val="{3919EF28-3294-CA4B-B596-FDFDE612A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DE6F92"/>
    <w:pPr>
      <w:outlineLvl w:val="0"/>
    </w:pPr>
    <w:rPr>
      <w:rFonts w:ascii="Bitter" w:hAnsi="Bitter"/>
    </w:rPr>
  </w:style>
  <w:style w:type="paragraph" w:styleId="Heading2">
    <w:name w:val="heading 2"/>
    <w:basedOn w:val="Normal"/>
    <w:next w:val="Normal"/>
    <w:link w:val="Heading2Char"/>
    <w:uiPriority w:val="9"/>
    <w:unhideWhenUsed/>
    <w:qFormat/>
    <w:rsid w:val="00DE6F92"/>
    <w:pPr>
      <w:keepNext/>
      <w:keepLines/>
      <w:spacing w:before="160" w:after="80"/>
      <w:outlineLvl w:val="1"/>
    </w:pPr>
    <w:rPr>
      <w:rFonts w:ascii="Bitter" w:eastAsiaTheme="majorEastAsia" w:hAnsi="Bitter" w:cstheme="majorBidi"/>
      <w:color w:val="1F3864" w:themeColor="accent1" w:themeShade="80"/>
      <w:sz w:val="36"/>
      <w:szCs w:val="26"/>
    </w:rPr>
  </w:style>
  <w:style w:type="paragraph" w:styleId="Heading3">
    <w:name w:val="heading 3"/>
    <w:basedOn w:val="Normal"/>
    <w:next w:val="Normal"/>
    <w:link w:val="Heading3Char"/>
    <w:uiPriority w:val="9"/>
    <w:unhideWhenUsed/>
    <w:qFormat/>
    <w:rsid w:val="00DE6F92"/>
    <w:pPr>
      <w:keepNext/>
      <w:keepLines/>
      <w:spacing w:before="160" w:after="80"/>
      <w:outlineLvl w:val="2"/>
    </w:pPr>
    <w:rPr>
      <w:rFonts w:ascii="Bitter" w:eastAsiaTheme="majorEastAsia" w:hAnsi="Bitter" w:cstheme="majorBidi"/>
      <w:color w:val="1F3763" w:themeColor="accent1" w:themeShade="7F"/>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8B"/>
    <w:pPr>
      <w:tabs>
        <w:tab w:val="center" w:pos="4680"/>
        <w:tab w:val="right" w:pos="9360"/>
      </w:tabs>
    </w:pPr>
  </w:style>
  <w:style w:type="character" w:customStyle="1" w:styleId="HeaderChar">
    <w:name w:val="Header Char"/>
    <w:basedOn w:val="DefaultParagraphFont"/>
    <w:link w:val="Header"/>
    <w:uiPriority w:val="99"/>
    <w:rsid w:val="000D2F8B"/>
  </w:style>
  <w:style w:type="paragraph" w:styleId="Footer">
    <w:name w:val="footer"/>
    <w:basedOn w:val="Normal"/>
    <w:link w:val="FooterChar"/>
    <w:uiPriority w:val="99"/>
    <w:unhideWhenUsed/>
    <w:rsid w:val="000D2F8B"/>
    <w:pPr>
      <w:tabs>
        <w:tab w:val="center" w:pos="4680"/>
        <w:tab w:val="right" w:pos="9360"/>
      </w:tabs>
    </w:pPr>
  </w:style>
  <w:style w:type="character" w:customStyle="1" w:styleId="FooterChar">
    <w:name w:val="Footer Char"/>
    <w:basedOn w:val="DefaultParagraphFont"/>
    <w:link w:val="Footer"/>
    <w:uiPriority w:val="99"/>
    <w:rsid w:val="000D2F8B"/>
  </w:style>
  <w:style w:type="character" w:styleId="PageNumber">
    <w:name w:val="page number"/>
    <w:basedOn w:val="DefaultParagraphFont"/>
    <w:uiPriority w:val="99"/>
    <w:semiHidden/>
    <w:unhideWhenUsed/>
    <w:rsid w:val="000D2F8B"/>
  </w:style>
  <w:style w:type="character" w:customStyle="1" w:styleId="Heading1Char">
    <w:name w:val="Heading 1 Char"/>
    <w:basedOn w:val="DefaultParagraphFont"/>
    <w:link w:val="Heading1"/>
    <w:uiPriority w:val="9"/>
    <w:rsid w:val="00DE6F92"/>
    <w:rPr>
      <w:rFonts w:ascii="Bitter" w:eastAsiaTheme="majorEastAsia" w:hAnsi="Bitter" w:cstheme="majorBidi"/>
      <w:spacing w:val="-10"/>
      <w:kern w:val="28"/>
      <w:sz w:val="56"/>
      <w:szCs w:val="56"/>
    </w:rPr>
  </w:style>
  <w:style w:type="paragraph" w:styleId="TOCHeading">
    <w:name w:val="TOC Heading"/>
    <w:basedOn w:val="Heading1"/>
    <w:next w:val="Normal"/>
    <w:uiPriority w:val="39"/>
    <w:unhideWhenUsed/>
    <w:qFormat/>
    <w:rsid w:val="000E7EDB"/>
    <w:pPr>
      <w:spacing w:before="48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0E7EDB"/>
    <w:pPr>
      <w:spacing w:before="120"/>
      <w:ind w:left="240"/>
    </w:pPr>
    <w:rPr>
      <w:rFonts w:cstheme="minorHAnsi"/>
      <w:b/>
      <w:bCs/>
      <w:sz w:val="22"/>
      <w:szCs w:val="22"/>
    </w:rPr>
  </w:style>
  <w:style w:type="paragraph" w:styleId="TOC1">
    <w:name w:val="toc 1"/>
    <w:basedOn w:val="Normal"/>
    <w:next w:val="Normal"/>
    <w:autoRedefine/>
    <w:uiPriority w:val="39"/>
    <w:unhideWhenUsed/>
    <w:rsid w:val="000E7EDB"/>
    <w:pPr>
      <w:spacing w:before="120"/>
    </w:pPr>
    <w:rPr>
      <w:rFonts w:cstheme="minorHAnsi"/>
      <w:b/>
      <w:bCs/>
      <w:i/>
      <w:iCs/>
    </w:rPr>
  </w:style>
  <w:style w:type="paragraph" w:styleId="TOC3">
    <w:name w:val="toc 3"/>
    <w:basedOn w:val="Normal"/>
    <w:next w:val="Normal"/>
    <w:autoRedefine/>
    <w:uiPriority w:val="39"/>
    <w:unhideWhenUsed/>
    <w:rsid w:val="000E7EDB"/>
    <w:pPr>
      <w:ind w:left="480"/>
    </w:pPr>
    <w:rPr>
      <w:rFonts w:cstheme="minorHAnsi"/>
      <w:sz w:val="20"/>
      <w:szCs w:val="20"/>
    </w:rPr>
  </w:style>
  <w:style w:type="paragraph" w:styleId="TOC4">
    <w:name w:val="toc 4"/>
    <w:basedOn w:val="Normal"/>
    <w:next w:val="Normal"/>
    <w:autoRedefine/>
    <w:uiPriority w:val="39"/>
    <w:semiHidden/>
    <w:unhideWhenUsed/>
    <w:rsid w:val="000E7EDB"/>
    <w:pPr>
      <w:ind w:left="720"/>
    </w:pPr>
    <w:rPr>
      <w:rFonts w:cstheme="minorHAnsi"/>
      <w:sz w:val="20"/>
      <w:szCs w:val="20"/>
    </w:rPr>
  </w:style>
  <w:style w:type="paragraph" w:styleId="TOC5">
    <w:name w:val="toc 5"/>
    <w:basedOn w:val="Normal"/>
    <w:next w:val="Normal"/>
    <w:autoRedefine/>
    <w:uiPriority w:val="39"/>
    <w:semiHidden/>
    <w:unhideWhenUsed/>
    <w:rsid w:val="000E7EDB"/>
    <w:pPr>
      <w:ind w:left="960"/>
    </w:pPr>
    <w:rPr>
      <w:rFonts w:cstheme="minorHAnsi"/>
      <w:sz w:val="20"/>
      <w:szCs w:val="20"/>
    </w:rPr>
  </w:style>
  <w:style w:type="paragraph" w:styleId="TOC6">
    <w:name w:val="toc 6"/>
    <w:basedOn w:val="Normal"/>
    <w:next w:val="Normal"/>
    <w:autoRedefine/>
    <w:uiPriority w:val="39"/>
    <w:semiHidden/>
    <w:unhideWhenUsed/>
    <w:rsid w:val="000E7EDB"/>
    <w:pPr>
      <w:ind w:left="1200"/>
    </w:pPr>
    <w:rPr>
      <w:rFonts w:cstheme="minorHAnsi"/>
      <w:sz w:val="20"/>
      <w:szCs w:val="20"/>
    </w:rPr>
  </w:style>
  <w:style w:type="paragraph" w:styleId="TOC7">
    <w:name w:val="toc 7"/>
    <w:basedOn w:val="Normal"/>
    <w:next w:val="Normal"/>
    <w:autoRedefine/>
    <w:uiPriority w:val="39"/>
    <w:semiHidden/>
    <w:unhideWhenUsed/>
    <w:rsid w:val="000E7EDB"/>
    <w:pPr>
      <w:ind w:left="1440"/>
    </w:pPr>
    <w:rPr>
      <w:rFonts w:cstheme="minorHAnsi"/>
      <w:sz w:val="20"/>
      <w:szCs w:val="20"/>
    </w:rPr>
  </w:style>
  <w:style w:type="paragraph" w:styleId="TOC8">
    <w:name w:val="toc 8"/>
    <w:basedOn w:val="Normal"/>
    <w:next w:val="Normal"/>
    <w:autoRedefine/>
    <w:uiPriority w:val="39"/>
    <w:semiHidden/>
    <w:unhideWhenUsed/>
    <w:rsid w:val="000E7EDB"/>
    <w:pPr>
      <w:ind w:left="1680"/>
    </w:pPr>
    <w:rPr>
      <w:rFonts w:cstheme="minorHAnsi"/>
      <w:sz w:val="20"/>
      <w:szCs w:val="20"/>
    </w:rPr>
  </w:style>
  <w:style w:type="paragraph" w:styleId="TOC9">
    <w:name w:val="toc 9"/>
    <w:basedOn w:val="Normal"/>
    <w:next w:val="Normal"/>
    <w:autoRedefine/>
    <w:uiPriority w:val="39"/>
    <w:semiHidden/>
    <w:unhideWhenUsed/>
    <w:rsid w:val="000E7EDB"/>
    <w:pPr>
      <w:ind w:left="1920"/>
    </w:pPr>
    <w:rPr>
      <w:rFonts w:cstheme="minorHAnsi"/>
      <w:sz w:val="20"/>
      <w:szCs w:val="20"/>
    </w:rPr>
  </w:style>
  <w:style w:type="character" w:styleId="Hyperlink">
    <w:name w:val="Hyperlink"/>
    <w:basedOn w:val="DefaultParagraphFont"/>
    <w:uiPriority w:val="99"/>
    <w:unhideWhenUsed/>
    <w:rsid w:val="00441BF5"/>
    <w:rPr>
      <w:color w:val="0563C1" w:themeColor="hyperlink"/>
      <w:u w:val="single"/>
    </w:rPr>
  </w:style>
  <w:style w:type="paragraph" w:styleId="ListParagraph">
    <w:name w:val="List Paragraph"/>
    <w:basedOn w:val="Normal"/>
    <w:link w:val="ListParagraphChar"/>
    <w:uiPriority w:val="34"/>
    <w:qFormat/>
    <w:rsid w:val="004A5DD5"/>
    <w:pPr>
      <w:ind w:left="720"/>
      <w:contextualSpacing/>
    </w:pPr>
  </w:style>
  <w:style w:type="character" w:customStyle="1" w:styleId="ListParagraphChar">
    <w:name w:val="List Paragraph Char"/>
    <w:basedOn w:val="DefaultParagraphFont"/>
    <w:link w:val="ListParagraph"/>
    <w:uiPriority w:val="34"/>
    <w:rsid w:val="006F5B31"/>
  </w:style>
  <w:style w:type="table" w:styleId="GridTable4-Accent4">
    <w:name w:val="Grid Table 4 Accent 4"/>
    <w:basedOn w:val="TableNormal"/>
    <w:uiPriority w:val="49"/>
    <w:rsid w:val="00A97A3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A97A3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97A3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97A38"/>
    <w:rPr>
      <w:rFonts w:ascii="Helvetica" w:hAnsi="Helvetica"/>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vAlign w:val="center"/>
    </w:tcPr>
    <w:tblStylePr w:type="firstRow">
      <w:rPr>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pPr>
        <w:jc w:val="left"/>
      </w:pPr>
      <w:rPr>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Body">
    <w:name w:val="Body"/>
    <w:basedOn w:val="Normal"/>
    <w:qFormat/>
    <w:rsid w:val="00031295"/>
    <w:pPr>
      <w:ind w:right="4"/>
    </w:pPr>
    <w:rPr>
      <w:rFonts w:ascii="DM Sans 14pt" w:hAnsi="DM Sans 14pt"/>
      <w:color w:val="000000" w:themeColor="text1"/>
      <w:sz w:val="22"/>
      <w:szCs w:val="22"/>
      <w:lang w:val="en-US"/>
    </w:rPr>
  </w:style>
  <w:style w:type="paragraph" w:customStyle="1" w:styleId="SalutationSignature">
    <w:name w:val="Salutation/Signature"/>
    <w:basedOn w:val="Normal"/>
    <w:qFormat/>
    <w:rsid w:val="00031295"/>
    <w:rPr>
      <w:rFonts w:ascii="Bitter" w:hAnsi="Bitter"/>
      <w:b/>
      <w:bCs/>
    </w:rPr>
  </w:style>
  <w:style w:type="character" w:styleId="UnresolvedMention">
    <w:name w:val="Unresolved Mention"/>
    <w:basedOn w:val="DefaultParagraphFont"/>
    <w:uiPriority w:val="99"/>
    <w:semiHidden/>
    <w:unhideWhenUsed/>
    <w:rsid w:val="000A3B16"/>
    <w:rPr>
      <w:color w:val="605E5C"/>
      <w:shd w:val="clear" w:color="auto" w:fill="E1DFDD"/>
    </w:rPr>
  </w:style>
  <w:style w:type="character" w:customStyle="1" w:styleId="Heading2Char">
    <w:name w:val="Heading 2 Char"/>
    <w:basedOn w:val="DefaultParagraphFont"/>
    <w:link w:val="Heading2"/>
    <w:uiPriority w:val="9"/>
    <w:rsid w:val="00DE6F92"/>
    <w:rPr>
      <w:rFonts w:ascii="Bitter" w:eastAsiaTheme="majorEastAsia" w:hAnsi="Bitter" w:cstheme="majorBidi"/>
      <w:color w:val="1F3864" w:themeColor="accent1" w:themeShade="80"/>
      <w:sz w:val="36"/>
      <w:szCs w:val="26"/>
    </w:rPr>
  </w:style>
  <w:style w:type="paragraph" w:styleId="Title">
    <w:name w:val="Title"/>
    <w:basedOn w:val="Normal"/>
    <w:next w:val="Normal"/>
    <w:link w:val="TitleChar"/>
    <w:uiPriority w:val="10"/>
    <w:qFormat/>
    <w:rsid w:val="007C24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423"/>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D832AE"/>
    <w:rPr>
      <w:rFonts w:cs="Arial (Body)"/>
      <w:kern w:val="0"/>
      <w:sz w:val="22"/>
      <w:szCs w:val="20"/>
      <w:lang w:val="en-US"/>
      <w14:ligatures w14:val="none"/>
    </w:rPr>
  </w:style>
  <w:style w:type="character" w:customStyle="1" w:styleId="CommentTextChar">
    <w:name w:val="Comment Text Char"/>
    <w:basedOn w:val="DefaultParagraphFont"/>
    <w:link w:val="CommentText"/>
    <w:uiPriority w:val="99"/>
    <w:rsid w:val="00D832AE"/>
    <w:rPr>
      <w:rFonts w:cs="Arial (Body)"/>
      <w:kern w:val="0"/>
      <w:sz w:val="22"/>
      <w:szCs w:val="20"/>
      <w:lang w:val="en-US"/>
      <w14:ligatures w14:val="none"/>
    </w:rPr>
  </w:style>
  <w:style w:type="character" w:customStyle="1" w:styleId="Heading3Char">
    <w:name w:val="Heading 3 Char"/>
    <w:basedOn w:val="DefaultParagraphFont"/>
    <w:link w:val="Heading3"/>
    <w:uiPriority w:val="9"/>
    <w:rsid w:val="00DE6F92"/>
    <w:rPr>
      <w:rFonts w:ascii="Bitter" w:eastAsiaTheme="majorEastAsia" w:hAnsi="Bitter" w:cstheme="majorBidi"/>
      <w:color w:val="1F3763" w:themeColor="accent1" w:themeShade="7F"/>
      <w:sz w:val="32"/>
    </w:rPr>
  </w:style>
  <w:style w:type="paragraph" w:customStyle="1" w:styleId="paragraph">
    <w:name w:val="paragraph"/>
    <w:basedOn w:val="Normal"/>
    <w:rsid w:val="00E8253B"/>
    <w:pPr>
      <w:spacing w:before="100" w:beforeAutospacing="1" w:after="100" w:afterAutospacing="1"/>
    </w:pPr>
    <w:rPr>
      <w:rFonts w:ascii="Times" w:hAnsi="Times" w:cs="Arial (Body)"/>
      <w:kern w:val="0"/>
      <w:sz w:val="22"/>
      <w:szCs w:val="20"/>
      <w14:ligatures w14:val="none"/>
    </w:rPr>
  </w:style>
  <w:style w:type="character" w:customStyle="1" w:styleId="eop">
    <w:name w:val="eop"/>
    <w:basedOn w:val="DefaultParagraphFont"/>
    <w:rsid w:val="00E8253B"/>
  </w:style>
  <w:style w:type="paragraph" w:styleId="NoSpacing">
    <w:name w:val="No Spacing"/>
    <w:basedOn w:val="Normal"/>
    <w:uiPriority w:val="1"/>
    <w:qFormat/>
    <w:rsid w:val="00E8253B"/>
    <w:rPr>
      <w:rFonts w:cs="Arial (Body)"/>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lib.uoguelph.ca/"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mailto:donate@uoguelph.ca" TargetMode="External"/><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8099f30-c1b6-440a-9b0f-b3c51ae9d92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927B37024A9542A7A0557041E79098" ma:contentTypeVersion="18" ma:contentTypeDescription="Create a new document." ma:contentTypeScope="" ma:versionID="84571566cdde834d483a3ec6fc6fbf16">
  <xsd:schema xmlns:xsd="http://www.w3.org/2001/XMLSchema" xmlns:xs="http://www.w3.org/2001/XMLSchema" xmlns:p="http://schemas.microsoft.com/office/2006/metadata/properties" xmlns:ns3="a8099f30-c1b6-440a-9b0f-b3c51ae9d925" xmlns:ns4="a239740e-c12e-48ea-9598-5ec9ef64aab0" targetNamespace="http://schemas.microsoft.com/office/2006/metadata/properties" ma:root="true" ma:fieldsID="58329794defa7ececf6473570cf15e64" ns3:_="" ns4:_="">
    <xsd:import namespace="a8099f30-c1b6-440a-9b0f-b3c51ae9d925"/>
    <xsd:import namespace="a239740e-c12e-48ea-9598-5ec9ef64aa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99f30-c1b6-440a-9b0f-b3c51ae9d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9740e-c12e-48ea-9598-5ec9ef64aa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2B0DA-B14F-004D-84ED-EC46A2C3C7EC}">
  <ds:schemaRefs>
    <ds:schemaRef ds:uri="http://schemas.openxmlformats.org/officeDocument/2006/bibliography"/>
  </ds:schemaRefs>
</ds:datastoreItem>
</file>

<file path=customXml/itemProps2.xml><?xml version="1.0" encoding="utf-8"?>
<ds:datastoreItem xmlns:ds="http://schemas.openxmlformats.org/officeDocument/2006/customXml" ds:itemID="{D4929DD8-3AA9-4B0B-B675-541306D725A1}">
  <ds:schemaRefs>
    <ds:schemaRef ds:uri="http://schemas.microsoft.com/sharepoint/v3/contenttype/forms"/>
  </ds:schemaRefs>
</ds:datastoreItem>
</file>

<file path=customXml/itemProps3.xml><?xml version="1.0" encoding="utf-8"?>
<ds:datastoreItem xmlns:ds="http://schemas.openxmlformats.org/officeDocument/2006/customXml" ds:itemID="{2E4DDF9F-CBFD-47F6-90BB-E6BE31F4DA6A}">
  <ds:schemaRefs>
    <ds:schemaRef ds:uri="http://schemas.microsoft.com/office/2006/metadata/properties"/>
    <ds:schemaRef ds:uri="http://schemas.microsoft.com/office/infopath/2007/PartnerControls"/>
    <ds:schemaRef ds:uri="a8099f30-c1b6-440a-9b0f-b3c51ae9d925"/>
  </ds:schemaRefs>
</ds:datastoreItem>
</file>

<file path=customXml/itemProps4.xml><?xml version="1.0" encoding="utf-8"?>
<ds:datastoreItem xmlns:ds="http://schemas.openxmlformats.org/officeDocument/2006/customXml" ds:itemID="{5AB9B9ED-E66D-4E34-8971-ED744BA12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99f30-c1b6-440a-9b0f-b3c51ae9d925"/>
    <ds:schemaRef ds:uri="a239740e-c12e-48ea-9598-5ec9ef64a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1312</Words>
  <Characters>7326</Characters>
  <Application>Microsoft Office Word</Application>
  <DocSecurity>0</DocSecurity>
  <Lines>187</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Cyclical Program Review Library Report for Master of Business Administration</dc:title>
  <dc:subject/>
  <dc:creator>Ethan Bersche</dc:creator>
  <cp:keywords/>
  <dc:description/>
  <cp:lastModifiedBy>Ryan Moore</cp:lastModifiedBy>
  <cp:revision>3</cp:revision>
  <dcterms:created xsi:type="dcterms:W3CDTF">2026-02-06T18:44:00Z</dcterms:created>
  <dcterms:modified xsi:type="dcterms:W3CDTF">2026-02-06T18:44:00Z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0x010100D5927B37024A9542A7A0557041E79098</vt:lpwstr>
  </property>
  <property fmtid="{D5CDD505-2E9C-101B-9397-08002B2CF9AE}" pid="3" name="MediaServiceImageTags">
    <vt:lpwstr/>
  </property>
</Properties>
</file>